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5194A">
      <w:pPr>
        <w:adjustRightInd/>
        <w:snapToGrid/>
        <w:spacing w:line="440" w:lineRule="exact"/>
        <w:ind w:firstLine="0" w:firstLineChars="0"/>
        <w:rPr>
          <w:rFonts w:ascii="Times New Roman" w:hAnsi="Times New Roman" w:eastAsia="黑体"/>
          <w:bCs/>
          <w:snapToGrid/>
          <w:kern w:val="2"/>
          <w:sz w:val="28"/>
          <w:szCs w:val="28"/>
        </w:rPr>
      </w:pPr>
      <w:r>
        <w:rPr>
          <w:rFonts w:ascii="Times New Roman" w:hAnsi="Times New Roman" w:eastAsia="黑体"/>
          <w:bCs/>
          <w:snapToGrid/>
          <w:spacing w:val="11"/>
          <w:kern w:val="2"/>
          <w:sz w:val="28"/>
          <w:szCs w:val="28"/>
        </w:rPr>
        <w:t>渑池县十</w:t>
      </w:r>
      <w:r>
        <w:rPr>
          <w:rFonts w:hint="eastAsia" w:ascii="Times New Roman" w:hAnsi="Times New Roman" w:eastAsia="黑体"/>
          <w:bCs/>
          <w:snapToGrid/>
          <w:spacing w:val="11"/>
          <w:kern w:val="2"/>
          <w:sz w:val="28"/>
          <w:szCs w:val="28"/>
        </w:rPr>
        <w:t>五</w:t>
      </w:r>
      <w:r>
        <w:rPr>
          <w:rFonts w:ascii="Times New Roman" w:hAnsi="Times New Roman" w:eastAsia="黑体"/>
          <w:bCs/>
          <w:snapToGrid/>
          <w:spacing w:val="11"/>
          <w:kern w:val="2"/>
          <w:sz w:val="28"/>
          <w:szCs w:val="28"/>
        </w:rPr>
        <w:t>届人大</w:t>
      </w:r>
    </w:p>
    <w:p w14:paraId="67070DD4">
      <w:pPr>
        <w:adjustRightInd/>
        <w:snapToGrid/>
        <w:spacing w:line="440" w:lineRule="exact"/>
        <w:ind w:firstLine="0" w:firstLineChars="0"/>
        <w:rPr>
          <w:rFonts w:ascii="Times New Roman" w:hAnsi="Times New Roman" w:eastAsia="黑体"/>
          <w:bCs/>
          <w:snapToGrid/>
          <w:spacing w:val="10"/>
          <w:kern w:val="2"/>
          <w:sz w:val="28"/>
          <w:szCs w:val="28"/>
        </w:rPr>
      </w:pPr>
      <w:r>
        <w:rPr>
          <w:rFonts w:hint="eastAsia" w:ascii="Times New Roman" w:hAnsi="Times New Roman" w:eastAsia="黑体"/>
          <w:bCs/>
          <w:snapToGrid/>
          <w:kern w:val="2"/>
          <w:sz w:val="28"/>
          <w:szCs w:val="28"/>
        </w:rPr>
        <w:t>六</w:t>
      </w:r>
      <w:r>
        <w:rPr>
          <w:rFonts w:ascii="Times New Roman" w:hAnsi="Times New Roman" w:eastAsia="黑体"/>
          <w:bCs/>
          <w:snapToGrid/>
          <w:kern w:val="2"/>
          <w:sz w:val="28"/>
          <w:szCs w:val="28"/>
        </w:rPr>
        <w:t>次会议文件</w:t>
      </w:r>
      <w:r>
        <w:rPr>
          <w:rFonts w:hint="eastAsia" w:ascii="黑体" w:hAnsi="黑体" w:eastAsia="黑体" w:cs="黑体"/>
          <w:bCs/>
          <w:snapToGrid/>
          <w:kern w:val="2"/>
          <w:sz w:val="28"/>
          <w:szCs w:val="28"/>
        </w:rPr>
        <w:t>（20）</w:t>
      </w:r>
    </w:p>
    <w:p w14:paraId="1B0F6251">
      <w:pPr>
        <w:adjustRightInd/>
        <w:snapToGrid/>
        <w:spacing w:line="560" w:lineRule="exact"/>
        <w:ind w:firstLine="320" w:firstLineChars="100"/>
        <w:rPr>
          <w:rFonts w:ascii="方正小标宋简体" w:hAnsi="Times New Roman" w:eastAsia="方正小标宋简体"/>
          <w:snapToGrid/>
          <w:kern w:val="2"/>
          <w:szCs w:val="32"/>
        </w:rPr>
      </w:pPr>
    </w:p>
    <w:p w14:paraId="558ACEBC">
      <w:pPr>
        <w:adjustRightInd/>
        <w:snapToGrid/>
        <w:spacing w:line="560" w:lineRule="exact"/>
        <w:ind w:firstLine="440" w:firstLineChars="100"/>
        <w:rPr>
          <w:rFonts w:ascii="方正小标宋简体" w:hAnsi="方正小标宋简体" w:eastAsia="方正小标宋简体" w:cs="方正小标宋简体"/>
          <w:snapToGrid/>
          <w:kern w:val="2"/>
          <w:sz w:val="44"/>
          <w:szCs w:val="44"/>
        </w:rPr>
      </w:pPr>
      <w:r>
        <w:rPr>
          <w:rFonts w:hint="eastAsia" w:ascii="方正小标宋简体" w:hAnsi="方正小标宋简体" w:eastAsia="方正小标宋简体" w:cs="方正小标宋简体"/>
          <w:snapToGrid/>
          <w:kern w:val="2"/>
          <w:sz w:val="44"/>
          <w:szCs w:val="44"/>
        </w:rPr>
        <w:t>关于渑池县2024年财政预算执行情况和</w:t>
      </w:r>
    </w:p>
    <w:p w14:paraId="56F8D5E0">
      <w:pPr>
        <w:adjustRightInd/>
        <w:snapToGrid/>
        <w:spacing w:line="560" w:lineRule="exact"/>
        <w:ind w:firstLine="0" w:firstLineChars="0"/>
        <w:jc w:val="center"/>
        <w:rPr>
          <w:rFonts w:ascii="方正小标宋简体" w:hAnsi="方正小标宋简体" w:eastAsia="方正小标宋简体" w:cs="方正小标宋简体"/>
          <w:snapToGrid/>
          <w:kern w:val="2"/>
          <w:sz w:val="44"/>
          <w:szCs w:val="44"/>
        </w:rPr>
      </w:pPr>
      <w:r>
        <w:rPr>
          <w:rFonts w:hint="eastAsia" w:ascii="方正小标宋简体" w:hAnsi="方正小标宋简体" w:eastAsia="方正小标宋简体" w:cs="方正小标宋简体"/>
          <w:snapToGrid/>
          <w:kern w:val="2"/>
          <w:sz w:val="44"/>
          <w:szCs w:val="44"/>
        </w:rPr>
        <w:t>2025年财政预算（草案）的报告</w:t>
      </w:r>
    </w:p>
    <w:p w14:paraId="12BEA66A">
      <w:pPr>
        <w:adjustRightInd/>
        <w:snapToGrid/>
        <w:spacing w:line="400" w:lineRule="exact"/>
        <w:ind w:firstLine="0" w:firstLineChars="0"/>
        <w:jc w:val="center"/>
        <w:rPr>
          <w:rFonts w:ascii="Times New Roman" w:hAnsi="Times New Roman" w:eastAsia="楷体_GB2312"/>
          <w:b/>
          <w:snapToGrid/>
          <w:spacing w:val="-14"/>
          <w:kern w:val="2"/>
          <w:sz w:val="28"/>
          <w:szCs w:val="28"/>
        </w:rPr>
      </w:pPr>
      <w:r>
        <w:rPr>
          <w:rFonts w:ascii="Times New Roman" w:hAnsi="Times New Roman" w:eastAsia="楷体_GB2312"/>
          <w:snapToGrid/>
          <w:spacing w:val="-14"/>
          <w:kern w:val="2"/>
          <w:sz w:val="28"/>
          <w:szCs w:val="28"/>
        </w:rPr>
        <w:t xml:space="preserve"> </w:t>
      </w:r>
      <w:r>
        <w:rPr>
          <w:rFonts w:hint="eastAsia" w:ascii="Times New Roman" w:hAnsi="Times New Roman" w:eastAsia="楷体_GB2312"/>
          <w:b/>
          <w:snapToGrid/>
          <w:spacing w:val="-14"/>
          <w:kern w:val="2"/>
          <w:sz w:val="28"/>
          <w:szCs w:val="28"/>
        </w:rPr>
        <w:t xml:space="preserve"> </w:t>
      </w:r>
    </w:p>
    <w:p w14:paraId="43C6DBDD">
      <w:pPr>
        <w:adjustRightInd/>
        <w:snapToGrid/>
        <w:spacing w:line="560" w:lineRule="exact"/>
        <w:ind w:firstLine="0" w:firstLineChars="0"/>
        <w:rPr>
          <w:rFonts w:ascii="Times New Roman" w:hAnsi="Times New Roman" w:eastAsia="楷体_GB2312"/>
          <w:snapToGrid/>
          <w:spacing w:val="-14"/>
          <w:kern w:val="2"/>
          <w:szCs w:val="32"/>
        </w:rPr>
      </w:pPr>
      <w:r>
        <w:rPr>
          <w:rFonts w:hint="eastAsia" w:ascii="楷体_GB2312" w:hAnsi="Times New Roman" w:eastAsia="楷体_GB2312"/>
          <w:snapToGrid/>
          <w:spacing w:val="-14"/>
          <w:kern w:val="2"/>
          <w:szCs w:val="32"/>
        </w:rPr>
        <w:t>—2025年</w:t>
      </w:r>
      <w:r>
        <w:rPr>
          <w:rFonts w:hint="eastAsia" w:ascii="楷体_GB2312" w:hAnsi="Times New Roman" w:eastAsia="楷体_GB2312"/>
          <w:snapToGrid/>
          <w:spacing w:val="-14"/>
          <w:kern w:val="2"/>
          <w:szCs w:val="32"/>
          <w:lang w:val="en-US" w:eastAsia="zh-CN"/>
        </w:rPr>
        <w:t>3</w:t>
      </w:r>
      <w:r>
        <w:rPr>
          <w:rFonts w:hint="eastAsia" w:ascii="楷体_GB2312" w:hAnsi="Times New Roman" w:eastAsia="楷体_GB2312"/>
          <w:snapToGrid/>
          <w:spacing w:val="-14"/>
          <w:kern w:val="2"/>
          <w:szCs w:val="32"/>
        </w:rPr>
        <w:t>月</w:t>
      </w:r>
      <w:r>
        <w:rPr>
          <w:rFonts w:hint="eastAsia" w:ascii="楷体_GB2312" w:hAnsi="Times New Roman" w:eastAsia="楷体_GB2312"/>
          <w:snapToGrid/>
          <w:spacing w:val="-14"/>
          <w:kern w:val="2"/>
          <w:szCs w:val="32"/>
          <w:lang w:val="en-US" w:eastAsia="zh-CN"/>
        </w:rPr>
        <w:t>1</w:t>
      </w:r>
      <w:r>
        <w:rPr>
          <w:rFonts w:hint="eastAsia" w:ascii="楷体_GB2312" w:hAnsi="Times New Roman" w:eastAsia="楷体_GB2312"/>
          <w:snapToGrid/>
          <w:spacing w:val="-14"/>
          <w:kern w:val="2"/>
          <w:szCs w:val="32"/>
        </w:rPr>
        <w:t>日</w:t>
      </w:r>
      <w:r>
        <w:rPr>
          <w:rFonts w:ascii="楷体_GB2312" w:hAnsi="Times New Roman" w:eastAsia="楷体_GB2312"/>
          <w:snapToGrid/>
          <w:spacing w:val="-14"/>
          <w:kern w:val="2"/>
          <w:szCs w:val="32"/>
        </w:rPr>
        <w:t>在</w:t>
      </w:r>
      <w:r>
        <w:rPr>
          <w:rFonts w:hint="eastAsia" w:ascii="楷体_GB2312" w:hAnsi="Times New Roman" w:eastAsia="楷体_GB2312"/>
          <w:snapToGrid/>
          <w:spacing w:val="-14"/>
          <w:kern w:val="2"/>
          <w:szCs w:val="32"/>
        </w:rPr>
        <w:t>渑池县</w:t>
      </w:r>
      <w:r>
        <w:rPr>
          <w:rFonts w:ascii="楷体_GB2312" w:hAnsi="Times New Roman" w:eastAsia="楷体_GB2312"/>
          <w:snapToGrid/>
          <w:spacing w:val="-14"/>
          <w:kern w:val="2"/>
          <w:szCs w:val="32"/>
        </w:rPr>
        <w:t>第</w:t>
      </w:r>
      <w:r>
        <w:rPr>
          <w:rFonts w:hint="eastAsia" w:ascii="楷体_GB2312" w:hAnsi="Times New Roman" w:eastAsia="楷体_GB2312"/>
          <w:snapToGrid/>
          <w:spacing w:val="-14"/>
          <w:kern w:val="2"/>
          <w:szCs w:val="32"/>
        </w:rPr>
        <w:t>十五</w:t>
      </w:r>
      <w:r>
        <w:rPr>
          <w:rFonts w:ascii="楷体_GB2312" w:hAnsi="Times New Roman" w:eastAsia="楷体_GB2312"/>
          <w:snapToGrid/>
          <w:spacing w:val="-14"/>
          <w:kern w:val="2"/>
          <w:szCs w:val="32"/>
        </w:rPr>
        <w:t>届人民代表大会第</w:t>
      </w:r>
      <w:r>
        <w:rPr>
          <w:rFonts w:hint="eastAsia" w:ascii="楷体_GB2312" w:hAnsi="Times New Roman" w:eastAsia="楷体_GB2312"/>
          <w:snapToGrid/>
          <w:spacing w:val="-14"/>
          <w:kern w:val="2"/>
          <w:szCs w:val="32"/>
        </w:rPr>
        <w:t>六</w:t>
      </w:r>
      <w:r>
        <w:rPr>
          <w:rFonts w:ascii="楷体_GB2312" w:hAnsi="Times New Roman" w:eastAsia="楷体_GB2312"/>
          <w:snapToGrid/>
          <w:spacing w:val="-14"/>
          <w:kern w:val="2"/>
          <w:szCs w:val="32"/>
        </w:rPr>
        <w:t>次会议上</w:t>
      </w:r>
    </w:p>
    <w:p w14:paraId="2CA857D8">
      <w:pPr>
        <w:adjustRightInd/>
        <w:snapToGrid/>
        <w:spacing w:line="560" w:lineRule="exact"/>
        <w:ind w:firstLine="0" w:firstLineChars="0"/>
        <w:jc w:val="center"/>
        <w:rPr>
          <w:rFonts w:ascii="Times New Roman" w:hAnsi="Times New Roman" w:eastAsia="楷体_GB2312"/>
          <w:snapToGrid/>
          <w:szCs w:val="32"/>
        </w:rPr>
      </w:pPr>
      <w:r>
        <w:rPr>
          <w:rFonts w:hint="eastAsia" w:ascii="楷体_GB2312" w:hAnsi="Times New Roman" w:eastAsia="楷体_GB2312"/>
          <w:snapToGrid/>
          <w:szCs w:val="32"/>
        </w:rPr>
        <w:t>渑池县财政局长</w:t>
      </w:r>
      <w:r>
        <w:rPr>
          <w:rFonts w:ascii="Times New Roman" w:hAnsi="Times New Roman" w:eastAsia="楷体_GB2312"/>
          <w:snapToGrid/>
          <w:szCs w:val="32"/>
        </w:rPr>
        <w:t xml:space="preserve">  </w:t>
      </w:r>
      <w:r>
        <w:rPr>
          <w:rFonts w:hint="eastAsia" w:ascii="Times New Roman" w:hAnsi="Times New Roman" w:eastAsia="楷体_GB2312"/>
          <w:snapToGrid/>
          <w:szCs w:val="32"/>
        </w:rPr>
        <w:t>代伟锋</w:t>
      </w:r>
    </w:p>
    <w:p w14:paraId="2A9E73C3">
      <w:pPr>
        <w:adjustRightInd/>
        <w:snapToGrid/>
        <w:spacing w:line="400" w:lineRule="exact"/>
        <w:ind w:firstLine="0" w:firstLineChars="0"/>
        <w:jc w:val="center"/>
        <w:rPr>
          <w:rFonts w:ascii="Times New Roman" w:hAnsi="Times New Roman" w:eastAsia="楷体_GB2312"/>
          <w:snapToGrid/>
          <w:sz w:val="28"/>
          <w:szCs w:val="28"/>
        </w:rPr>
      </w:pPr>
      <w:r>
        <w:rPr>
          <w:rFonts w:ascii="Times New Roman" w:hAnsi="Times New Roman" w:eastAsia="楷体_GB2312"/>
          <w:snapToGrid/>
          <w:sz w:val="28"/>
          <w:szCs w:val="28"/>
        </w:rPr>
        <w:t xml:space="preserve"> </w:t>
      </w:r>
    </w:p>
    <w:p w14:paraId="456EED32">
      <w:pPr>
        <w:keepNext w:val="0"/>
        <w:keepLines w:val="0"/>
        <w:pageBreakBefore w:val="0"/>
        <w:kinsoku/>
        <w:wordWrap/>
        <w:overflowPunct/>
        <w:topLinePunct/>
        <w:autoSpaceDE/>
        <w:bidi w:val="0"/>
        <w:adjustRightInd/>
        <w:snapToGrid/>
        <w:spacing w:line="558" w:lineRule="exact"/>
        <w:ind w:firstLine="0" w:firstLineChars="0"/>
        <w:textAlignment w:val="auto"/>
        <w:rPr>
          <w:rFonts w:ascii="仿宋_GB2312" w:hAnsi="Times New Roman" w:eastAsia="仿宋_GB2312"/>
          <w:snapToGrid/>
          <w:spacing w:val="3"/>
          <w:kern w:val="2"/>
          <w:szCs w:val="32"/>
        </w:rPr>
      </w:pPr>
      <w:r>
        <w:rPr>
          <w:rFonts w:hint="eastAsia" w:ascii="仿宋_GB2312" w:hAnsi="Times New Roman" w:eastAsia="仿宋_GB2312"/>
          <w:snapToGrid/>
          <w:spacing w:val="3"/>
          <w:kern w:val="2"/>
          <w:szCs w:val="32"/>
        </w:rPr>
        <w:t>各位代表：</w:t>
      </w:r>
    </w:p>
    <w:p w14:paraId="6A832122">
      <w:pPr>
        <w:keepNext w:val="0"/>
        <w:keepLines w:val="0"/>
        <w:pageBreakBefore w:val="0"/>
        <w:kinsoku/>
        <w:wordWrap/>
        <w:overflowPunct/>
        <w:topLinePunct/>
        <w:autoSpaceDE/>
        <w:bidi w:val="0"/>
        <w:adjustRightInd/>
        <w:snapToGrid/>
        <w:spacing w:line="558" w:lineRule="exact"/>
        <w:ind w:firstLine="652"/>
        <w:textAlignment w:val="auto"/>
        <w:rPr>
          <w:rFonts w:ascii="仿宋_GB2312" w:hAnsi="Times New Roman" w:eastAsia="仿宋_GB2312"/>
          <w:snapToGrid/>
          <w:spacing w:val="3"/>
          <w:kern w:val="2"/>
          <w:szCs w:val="32"/>
        </w:rPr>
      </w:pPr>
      <w:r>
        <w:rPr>
          <w:rFonts w:hint="eastAsia" w:ascii="仿宋_GB2312" w:hAnsi="Times New Roman" w:eastAsia="仿宋_GB2312"/>
          <w:snapToGrid/>
          <w:spacing w:val="3"/>
          <w:kern w:val="2"/>
          <w:szCs w:val="32"/>
        </w:rPr>
        <w:t>受县人民政府委托，我向大会报告渑池县2024年财政预算执行情况和2025年财政预算（草案），请予审议，并请各位政协委员和其他列席人员提出宝贵意见。</w:t>
      </w:r>
    </w:p>
    <w:p w14:paraId="301B8420">
      <w:pPr>
        <w:keepNext w:val="0"/>
        <w:keepLines w:val="0"/>
        <w:pageBreakBefore w:val="0"/>
        <w:kinsoku/>
        <w:wordWrap/>
        <w:overflowPunct/>
        <w:topLinePunct/>
        <w:autoSpaceDE/>
        <w:bidi w:val="0"/>
        <w:adjustRightInd/>
        <w:snapToGrid/>
        <w:spacing w:line="558" w:lineRule="exact"/>
        <w:ind w:firstLine="652"/>
        <w:textAlignment w:val="auto"/>
        <w:rPr>
          <w:rFonts w:ascii="黑体" w:hAnsi="黑体" w:eastAsia="黑体"/>
          <w:snapToGrid/>
          <w:spacing w:val="3"/>
          <w:kern w:val="2"/>
          <w:szCs w:val="32"/>
        </w:rPr>
      </w:pPr>
      <w:r>
        <w:rPr>
          <w:rFonts w:hint="eastAsia" w:ascii="黑体" w:hAnsi="黑体" w:eastAsia="黑体"/>
          <w:snapToGrid/>
          <w:spacing w:val="3"/>
          <w:kern w:val="2"/>
          <w:szCs w:val="32"/>
        </w:rPr>
        <w:t>一、2024年财政预算执行情况</w:t>
      </w:r>
    </w:p>
    <w:p w14:paraId="21224ACF">
      <w:pPr>
        <w:keepNext w:val="0"/>
        <w:keepLines w:val="0"/>
        <w:pageBreakBefore w:val="0"/>
        <w:kinsoku/>
        <w:wordWrap/>
        <w:overflowPunct/>
        <w:topLinePunct/>
        <w:autoSpaceDE/>
        <w:bidi w:val="0"/>
        <w:adjustRightInd/>
        <w:snapToGrid/>
        <w:spacing w:line="558" w:lineRule="exact"/>
        <w:ind w:firstLine="652"/>
        <w:textAlignment w:val="auto"/>
        <w:rPr>
          <w:rFonts w:ascii="仿宋_GB2312" w:hAnsi="Times New Roman" w:eastAsia="仿宋_GB2312"/>
          <w:snapToGrid/>
          <w:spacing w:val="3"/>
          <w:kern w:val="2"/>
          <w:szCs w:val="32"/>
        </w:rPr>
      </w:pPr>
      <w:r>
        <w:rPr>
          <w:rFonts w:hint="eastAsia" w:ascii="仿宋_GB2312" w:hAnsi="Times New Roman" w:eastAsia="仿宋_GB2312"/>
          <w:snapToGrid/>
          <w:spacing w:val="3"/>
          <w:kern w:val="2"/>
          <w:szCs w:val="32"/>
        </w:rPr>
        <w:t>2024年，面对外部压力加大、内部困难增多的复杂严峻形势，全县上下坚持以习近平新时代中国特色社会主义思想为指引，全面贯彻落实党的二十大和二十届二中、三中全会精神，坚持稳中求进工作总基调，迎难而上，砥砺前行，全力组织收入，牢固树立过“紧日子”思想，压缩一般性支出，全面落实“三保”任务，强化财政收支管理，切实提升财政管理效能和资金效益，全力防范和化解财政领域重大风险，有力的促进了全县经济社会持续平稳健康发展。</w:t>
      </w:r>
    </w:p>
    <w:p w14:paraId="7AB49CE1">
      <w:pPr>
        <w:keepNext w:val="0"/>
        <w:keepLines w:val="0"/>
        <w:pageBreakBefore w:val="0"/>
        <w:kinsoku/>
        <w:wordWrap/>
        <w:overflowPunct/>
        <w:autoSpaceDE/>
        <w:bidi w:val="0"/>
        <w:spacing w:line="558" w:lineRule="exact"/>
        <w:ind w:firstLine="654"/>
        <w:textAlignment w:val="auto"/>
        <w:rPr>
          <w:rFonts w:ascii="楷体_GB2312" w:hAnsi="楷体" w:eastAsia="楷体_GB2312"/>
          <w:b/>
          <w:bCs/>
          <w:snapToGrid/>
          <w:spacing w:val="3"/>
          <w:kern w:val="2"/>
          <w:szCs w:val="32"/>
        </w:rPr>
      </w:pPr>
      <w:r>
        <w:rPr>
          <w:rFonts w:hint="eastAsia" w:ascii="楷体_GB2312" w:hAnsi="楷体" w:eastAsia="楷体_GB2312"/>
          <w:b/>
          <w:bCs/>
          <w:snapToGrid/>
          <w:spacing w:val="3"/>
          <w:kern w:val="2"/>
          <w:szCs w:val="32"/>
        </w:rPr>
        <w:t>（一）2024年财政预算收支完成情况</w:t>
      </w:r>
    </w:p>
    <w:p w14:paraId="4E6D9C0F">
      <w:pPr>
        <w:keepNext w:val="0"/>
        <w:keepLines w:val="0"/>
        <w:pageBreakBefore w:val="0"/>
        <w:kinsoku/>
        <w:wordWrap/>
        <w:overflowPunct/>
        <w:autoSpaceDE/>
        <w:autoSpaceDN w:val="0"/>
        <w:bidi w:val="0"/>
        <w:adjustRightInd/>
        <w:snapToGrid/>
        <w:spacing w:line="558" w:lineRule="exact"/>
        <w:ind w:firstLine="654"/>
        <w:textAlignment w:val="auto"/>
        <w:rPr>
          <w:rFonts w:ascii="仿宋_GB2312" w:hAnsi="Times New Roman" w:eastAsia="仿宋_GB2312"/>
          <w:snapToGrid/>
          <w:color w:val="000000"/>
          <w:kern w:val="2"/>
          <w:szCs w:val="32"/>
        </w:rPr>
      </w:pPr>
      <w:r>
        <w:rPr>
          <w:rFonts w:hint="eastAsia" w:ascii="仿宋_GB2312" w:hAnsi="Times New Roman" w:eastAsia="仿宋_GB2312"/>
          <w:b/>
          <w:bCs/>
          <w:snapToGrid/>
          <w:spacing w:val="3"/>
          <w:kern w:val="2"/>
          <w:szCs w:val="32"/>
        </w:rPr>
        <w:t>1、一般公共预算。</w:t>
      </w:r>
      <w:r>
        <w:rPr>
          <w:rFonts w:hint="eastAsia" w:ascii="仿宋_GB2312" w:hAnsi="Times New Roman" w:eastAsia="仿宋_GB2312"/>
          <w:snapToGrid/>
          <w:spacing w:val="3"/>
          <w:kern w:val="2"/>
          <w:szCs w:val="32"/>
        </w:rPr>
        <w:t>2024年初，</w:t>
      </w:r>
      <w:r>
        <w:rPr>
          <w:rFonts w:hint="eastAsia" w:ascii="仿宋_GB2312" w:hAnsi="Times New Roman" w:eastAsia="仿宋_GB2312"/>
          <w:bCs/>
          <w:snapToGrid/>
          <w:spacing w:val="3"/>
          <w:kern w:val="2"/>
          <w:szCs w:val="32"/>
        </w:rPr>
        <w:t>县</w:t>
      </w:r>
      <w:r>
        <w:rPr>
          <w:rFonts w:hint="eastAsia" w:ascii="仿宋_GB2312" w:hAnsi="Times New Roman" w:eastAsia="仿宋_GB2312"/>
          <w:snapToGrid/>
          <w:spacing w:val="3"/>
          <w:kern w:val="2"/>
          <w:szCs w:val="32"/>
        </w:rPr>
        <w:t>十五届人大四次会议批准的全县一般公共预算收入为25.71亿元，年度执行中，12月份</w:t>
      </w:r>
      <w:r>
        <w:rPr>
          <w:rFonts w:hint="eastAsia" w:ascii="仿宋_GB2312" w:hAnsi="Times New Roman" w:eastAsia="仿宋_GB2312"/>
          <w:snapToGrid/>
          <w:kern w:val="2"/>
          <w:szCs w:val="32"/>
        </w:rPr>
        <w:t>经县人大常委会批准，年初预算数调整为22.6亿元，实际完成23.1亿元，为调整预算的</w:t>
      </w:r>
      <w:r>
        <w:rPr>
          <w:rFonts w:hint="eastAsia" w:ascii="仿宋_GB2312" w:hAnsi="Times New Roman" w:eastAsia="仿宋_GB2312"/>
          <w:snapToGrid/>
          <w:color w:val="000000"/>
          <w:kern w:val="2"/>
          <w:szCs w:val="32"/>
        </w:rPr>
        <w:t>102.2%，较上年下降5.6%。</w:t>
      </w:r>
      <w:r>
        <w:rPr>
          <w:rFonts w:hint="eastAsia" w:ascii="仿宋_GB2312" w:hAnsi="Times New Roman" w:eastAsia="仿宋_GB2312"/>
          <w:bCs/>
          <w:snapToGrid/>
          <w:spacing w:val="3"/>
          <w:kern w:val="2"/>
          <w:szCs w:val="32"/>
        </w:rPr>
        <w:t>主要项目完成情况：税收收入完成14.3亿元，</w:t>
      </w:r>
      <w:r>
        <w:rPr>
          <w:rFonts w:hint="eastAsia" w:ascii="仿宋_GB2312" w:hAnsi="Times New Roman" w:eastAsia="仿宋_GB2312"/>
          <w:snapToGrid/>
          <w:color w:val="000000"/>
          <w:kern w:val="2"/>
          <w:szCs w:val="32"/>
        </w:rPr>
        <w:t>较上年增长</w:t>
      </w:r>
      <w:r>
        <w:rPr>
          <w:rFonts w:hint="eastAsia" w:ascii="仿宋_GB2312" w:hAnsi="Times New Roman" w:eastAsia="仿宋_GB2312"/>
          <w:bCs/>
          <w:snapToGrid/>
          <w:spacing w:val="3"/>
          <w:kern w:val="2"/>
          <w:szCs w:val="32"/>
        </w:rPr>
        <w:t>2.2%；</w:t>
      </w:r>
      <w:r>
        <w:rPr>
          <w:rFonts w:hint="eastAsia" w:ascii="仿宋_GB2312" w:hAnsi="Times New Roman" w:eastAsia="仿宋_GB2312"/>
          <w:snapToGrid/>
          <w:spacing w:val="3"/>
          <w:kern w:val="2"/>
          <w:szCs w:val="32"/>
        </w:rPr>
        <w:t>非税收入完成8.8亿元，</w:t>
      </w:r>
      <w:r>
        <w:rPr>
          <w:rFonts w:hint="eastAsia" w:ascii="仿宋_GB2312" w:hAnsi="Times New Roman" w:eastAsia="仿宋_GB2312"/>
          <w:snapToGrid/>
          <w:color w:val="000000"/>
          <w:kern w:val="2"/>
          <w:szCs w:val="32"/>
        </w:rPr>
        <w:t>较上年</w:t>
      </w:r>
      <w:r>
        <w:rPr>
          <w:rFonts w:hint="eastAsia" w:ascii="仿宋_GB2312" w:hAnsi="Times New Roman" w:eastAsia="仿宋_GB2312"/>
          <w:snapToGrid/>
          <w:spacing w:val="3"/>
          <w:kern w:val="2"/>
          <w:szCs w:val="32"/>
        </w:rPr>
        <w:t>下降16.1%。一般公共预算支出年初预算为30.06亿</w:t>
      </w:r>
      <w:r>
        <w:rPr>
          <w:rFonts w:hint="eastAsia" w:ascii="仿宋_GB2312" w:hAnsi="Times New Roman" w:eastAsia="仿宋_GB2312"/>
          <w:snapToGrid/>
          <w:color w:val="000000"/>
          <w:kern w:val="2"/>
          <w:szCs w:val="32"/>
        </w:rPr>
        <w:t>元，年度</w:t>
      </w:r>
      <w:r>
        <w:rPr>
          <w:rFonts w:hint="eastAsia" w:ascii="仿宋_GB2312" w:hAnsi="Times New Roman" w:eastAsia="仿宋_GB2312"/>
          <w:snapToGrid/>
          <w:spacing w:val="3"/>
          <w:kern w:val="2"/>
          <w:szCs w:val="32"/>
        </w:rPr>
        <w:t>执行中，12月份</w:t>
      </w:r>
      <w:r>
        <w:rPr>
          <w:rFonts w:hint="eastAsia" w:ascii="仿宋_GB2312" w:hAnsi="Times New Roman" w:eastAsia="仿宋_GB2312"/>
          <w:snapToGrid/>
          <w:kern w:val="2"/>
          <w:szCs w:val="32"/>
        </w:rPr>
        <w:t>经县人大常委会批准，支出预算数调整为30.96亿元，</w:t>
      </w:r>
      <w:r>
        <w:rPr>
          <w:rFonts w:hint="eastAsia" w:ascii="仿宋_GB2312" w:hAnsi="Times New Roman" w:eastAsia="仿宋_GB2312"/>
          <w:snapToGrid/>
          <w:color w:val="000000"/>
          <w:kern w:val="2"/>
          <w:szCs w:val="32"/>
        </w:rPr>
        <w:t>实际完成33.03亿元，为调整预算的106.7%，较上年</w:t>
      </w:r>
      <w:r>
        <w:rPr>
          <w:rFonts w:hint="eastAsia" w:ascii="仿宋_GB2312" w:hAnsi="Times New Roman" w:eastAsia="仿宋_GB2312"/>
          <w:snapToGrid/>
          <w:spacing w:val="3"/>
          <w:kern w:val="2"/>
          <w:szCs w:val="32"/>
        </w:rPr>
        <w:t>下降0.9%。</w:t>
      </w:r>
    </w:p>
    <w:p w14:paraId="24DAB94C">
      <w:pPr>
        <w:keepNext w:val="0"/>
        <w:keepLines w:val="0"/>
        <w:pageBreakBefore w:val="0"/>
        <w:kinsoku/>
        <w:wordWrap/>
        <w:overflowPunct/>
        <w:autoSpaceDE/>
        <w:autoSpaceDN w:val="0"/>
        <w:bidi w:val="0"/>
        <w:adjustRightInd/>
        <w:snapToGrid/>
        <w:spacing w:line="558" w:lineRule="exact"/>
        <w:ind w:firstLine="654"/>
        <w:textAlignment w:val="auto"/>
        <w:rPr>
          <w:rFonts w:ascii="仿宋_GB2312" w:hAnsi="Times New Roman" w:eastAsia="仿宋_GB2312"/>
          <w:snapToGrid/>
          <w:color w:val="000000"/>
          <w:kern w:val="2"/>
          <w:szCs w:val="32"/>
        </w:rPr>
      </w:pPr>
      <w:r>
        <w:rPr>
          <w:rFonts w:hint="eastAsia" w:ascii="仿宋_GB2312" w:hAnsi="Times New Roman" w:eastAsia="仿宋_GB2312"/>
          <w:b/>
          <w:snapToGrid/>
          <w:spacing w:val="3"/>
          <w:kern w:val="2"/>
          <w:szCs w:val="32"/>
        </w:rPr>
        <w:t xml:space="preserve">县本级收支情况: </w:t>
      </w:r>
      <w:r>
        <w:rPr>
          <w:rFonts w:hint="eastAsia" w:ascii="仿宋_GB2312" w:hAnsi="Times New Roman" w:eastAsia="仿宋_GB2312"/>
          <w:snapToGrid/>
          <w:color w:val="000000"/>
          <w:kern w:val="2"/>
          <w:szCs w:val="32"/>
        </w:rPr>
        <w:t>县十五届人大四次会议批准的2024年县本级一般公共预算收入为13.92亿元，实际完成15.85亿元，较上年增长19.6%。支出预算为24.01亿元，</w:t>
      </w:r>
      <w:r>
        <w:rPr>
          <w:rFonts w:hint="eastAsia" w:ascii="仿宋_GB2312" w:hAnsi="Times New Roman" w:eastAsia="仿宋_GB2312"/>
          <w:snapToGrid/>
          <w:spacing w:val="3"/>
          <w:kern w:val="2"/>
          <w:szCs w:val="32"/>
        </w:rPr>
        <w:t>执行中，12月份</w:t>
      </w:r>
      <w:r>
        <w:rPr>
          <w:rFonts w:hint="eastAsia" w:ascii="仿宋_GB2312" w:hAnsi="Times New Roman" w:eastAsia="仿宋_GB2312"/>
          <w:snapToGrid/>
          <w:kern w:val="2"/>
          <w:szCs w:val="32"/>
        </w:rPr>
        <w:t>经县人大常委会批准，支出预算数调整为24.54亿元，</w:t>
      </w:r>
      <w:r>
        <w:rPr>
          <w:rFonts w:hint="eastAsia" w:ascii="仿宋_GB2312" w:hAnsi="Times New Roman" w:eastAsia="仿宋_GB2312"/>
          <w:snapToGrid/>
          <w:color w:val="000000"/>
          <w:kern w:val="2"/>
          <w:szCs w:val="32"/>
        </w:rPr>
        <w:t>实际完成28.08亿元，为调整预算的114.4%，较上年增长0.8%。</w:t>
      </w:r>
    </w:p>
    <w:p w14:paraId="05FCF2EA">
      <w:pPr>
        <w:keepNext w:val="0"/>
        <w:keepLines w:val="0"/>
        <w:pageBreakBefore w:val="0"/>
        <w:kinsoku/>
        <w:wordWrap/>
        <w:overflowPunct/>
        <w:autoSpaceDE/>
        <w:autoSpaceDN w:val="0"/>
        <w:bidi w:val="0"/>
        <w:adjustRightInd/>
        <w:snapToGrid/>
        <w:spacing w:line="558" w:lineRule="exact"/>
        <w:ind w:firstLine="654"/>
        <w:textAlignment w:val="auto"/>
        <w:rPr>
          <w:rFonts w:ascii="仿宋_GB2312" w:hAnsi="Times New Roman" w:eastAsia="仿宋_GB2312"/>
          <w:snapToGrid/>
          <w:kern w:val="2"/>
          <w:szCs w:val="32"/>
        </w:rPr>
      </w:pPr>
      <w:r>
        <w:rPr>
          <w:rFonts w:hint="eastAsia" w:ascii="仿宋_GB2312" w:hAnsi="Times New Roman" w:eastAsia="仿宋_GB2312"/>
          <w:b/>
          <w:snapToGrid/>
          <w:spacing w:val="3"/>
          <w:kern w:val="2"/>
          <w:szCs w:val="32"/>
        </w:rPr>
        <w:t>2、政府性基金预算。</w:t>
      </w:r>
      <w:r>
        <w:rPr>
          <w:rFonts w:hint="eastAsia" w:ascii="仿宋_GB2312" w:hAnsi="Times New Roman" w:eastAsia="仿宋_GB2312"/>
          <w:snapToGrid/>
          <w:spacing w:val="3"/>
          <w:kern w:val="2"/>
          <w:szCs w:val="32"/>
        </w:rPr>
        <w:t>县十五届人大四次会议批准的全县政府性基金预算收入为2.64亿元，年度执行中，12月份</w:t>
      </w:r>
      <w:r>
        <w:rPr>
          <w:rFonts w:hint="eastAsia" w:ascii="仿宋_GB2312" w:hAnsi="Times New Roman" w:eastAsia="仿宋_GB2312"/>
          <w:snapToGrid/>
          <w:kern w:val="2"/>
          <w:szCs w:val="32"/>
        </w:rPr>
        <w:t>经县人大常委会批准，年初预算数调整为3.56亿元，</w:t>
      </w:r>
      <w:r>
        <w:rPr>
          <w:rFonts w:hint="eastAsia" w:ascii="仿宋_GB2312" w:hAnsi="Times New Roman" w:eastAsia="仿宋_GB2312"/>
          <w:snapToGrid/>
          <w:spacing w:val="3"/>
          <w:kern w:val="2"/>
          <w:szCs w:val="32"/>
        </w:rPr>
        <w:t>实际完成4.5亿元，为调整预算的126.2%，</w:t>
      </w:r>
      <w:r>
        <w:rPr>
          <w:rFonts w:hint="eastAsia" w:ascii="仿宋_GB2312" w:hAnsi="Times New Roman" w:eastAsia="仿宋_GB2312"/>
          <w:snapToGrid/>
          <w:color w:val="000000"/>
          <w:kern w:val="2"/>
          <w:szCs w:val="32"/>
        </w:rPr>
        <w:t>较上年</w:t>
      </w:r>
      <w:r>
        <w:rPr>
          <w:rFonts w:hint="eastAsia" w:ascii="仿宋_GB2312" w:hAnsi="Times New Roman" w:eastAsia="仿宋_GB2312"/>
          <w:snapToGrid/>
          <w:spacing w:val="3"/>
          <w:kern w:val="2"/>
          <w:szCs w:val="32"/>
        </w:rPr>
        <w:t>增长78.8%</w:t>
      </w:r>
      <w:r>
        <w:rPr>
          <w:rFonts w:hint="eastAsia" w:ascii="仿宋_GB2312" w:hAnsi="Times New Roman" w:eastAsia="仿宋_GB2312"/>
          <w:szCs w:val="32"/>
        </w:rPr>
        <w:t>。</w:t>
      </w:r>
      <w:r>
        <w:rPr>
          <w:rFonts w:hint="eastAsia" w:ascii="仿宋_GB2312" w:hAnsi="Times New Roman" w:eastAsia="仿宋_GB2312"/>
          <w:snapToGrid/>
          <w:kern w:val="2"/>
          <w:szCs w:val="32"/>
        </w:rPr>
        <w:t>支出预算4.34亿元，年度</w:t>
      </w:r>
      <w:r>
        <w:rPr>
          <w:rFonts w:hint="eastAsia" w:ascii="仿宋_GB2312" w:hAnsi="Times New Roman" w:eastAsia="仿宋_GB2312"/>
          <w:snapToGrid/>
          <w:spacing w:val="3"/>
          <w:kern w:val="2"/>
          <w:szCs w:val="32"/>
        </w:rPr>
        <w:t>执行中，12月份</w:t>
      </w:r>
      <w:r>
        <w:rPr>
          <w:rFonts w:hint="eastAsia" w:ascii="仿宋_GB2312" w:hAnsi="Times New Roman" w:eastAsia="仿宋_GB2312"/>
          <w:snapToGrid/>
          <w:kern w:val="2"/>
          <w:szCs w:val="32"/>
        </w:rPr>
        <w:t>经县人大常委会批准，支出预算数调整为8.01亿元，实际完成9.65亿元，为调整预算的120.5%，</w:t>
      </w:r>
      <w:r>
        <w:rPr>
          <w:rFonts w:hint="eastAsia" w:ascii="仿宋_GB2312" w:hAnsi="Times New Roman" w:eastAsia="仿宋_GB2312"/>
          <w:snapToGrid/>
          <w:color w:val="000000"/>
          <w:kern w:val="2"/>
          <w:szCs w:val="32"/>
        </w:rPr>
        <w:t>较上年</w:t>
      </w:r>
      <w:r>
        <w:rPr>
          <w:rFonts w:hint="eastAsia" w:ascii="仿宋_GB2312" w:hAnsi="Times New Roman" w:eastAsia="仿宋_GB2312"/>
          <w:snapToGrid/>
          <w:kern w:val="2"/>
          <w:szCs w:val="32"/>
        </w:rPr>
        <w:t>下降16.3%。</w:t>
      </w:r>
      <w:r>
        <w:rPr>
          <w:rFonts w:hint="eastAsia" w:ascii="仿宋_GB2312" w:hAnsi="Times New Roman" w:eastAsia="仿宋_GB2312"/>
          <w:snapToGrid/>
          <w:spacing w:val="3"/>
          <w:kern w:val="2"/>
          <w:szCs w:val="32"/>
        </w:rPr>
        <w:t>政府性基金收支全部为县本级收支。</w:t>
      </w:r>
    </w:p>
    <w:p w14:paraId="24804E89">
      <w:pPr>
        <w:keepNext w:val="0"/>
        <w:keepLines w:val="0"/>
        <w:pageBreakBefore w:val="0"/>
        <w:kinsoku/>
        <w:wordWrap/>
        <w:overflowPunct/>
        <w:autoSpaceDE/>
        <w:bidi w:val="0"/>
        <w:spacing w:line="558" w:lineRule="exact"/>
        <w:ind w:firstLine="654"/>
        <w:textAlignment w:val="auto"/>
        <w:rPr>
          <w:rFonts w:ascii="仿宋_GB2312" w:hAnsi="Times New Roman" w:eastAsia="仿宋_GB2312"/>
          <w:snapToGrid/>
          <w:spacing w:val="3"/>
          <w:kern w:val="2"/>
          <w:szCs w:val="32"/>
        </w:rPr>
      </w:pPr>
      <w:r>
        <w:rPr>
          <w:rFonts w:hint="eastAsia" w:ascii="仿宋_GB2312" w:hAnsi="Times New Roman" w:eastAsia="仿宋_GB2312"/>
          <w:b/>
          <w:snapToGrid/>
          <w:spacing w:val="3"/>
          <w:kern w:val="2"/>
          <w:szCs w:val="32"/>
        </w:rPr>
        <w:t>3、国有资本经营预算。</w:t>
      </w:r>
      <w:r>
        <w:rPr>
          <w:rFonts w:hint="eastAsia" w:ascii="仿宋_GB2312" w:hAnsi="Times New Roman" w:eastAsia="仿宋_GB2312"/>
          <w:snapToGrid/>
          <w:spacing w:val="3"/>
          <w:kern w:val="2"/>
          <w:szCs w:val="32"/>
        </w:rPr>
        <w:t>2024年，我县国有资本经营预算收支为零，在实际执行中，收到上级转移支付补助收入  53万元，用于支持国有企业退休人员社会化管理支出，此笔支出调入一般公共预算列支。</w:t>
      </w:r>
    </w:p>
    <w:p w14:paraId="12AFBE9E">
      <w:pPr>
        <w:keepNext w:val="0"/>
        <w:keepLines w:val="0"/>
        <w:pageBreakBefore w:val="0"/>
        <w:kinsoku/>
        <w:wordWrap/>
        <w:overflowPunct/>
        <w:autoSpaceDE/>
        <w:bidi w:val="0"/>
        <w:spacing w:line="558" w:lineRule="exact"/>
        <w:ind w:firstLine="654"/>
        <w:textAlignment w:val="auto"/>
        <w:rPr>
          <w:rFonts w:ascii="仿宋_GB2312" w:hAnsi="Times New Roman" w:eastAsia="仿宋_GB2312"/>
          <w:snapToGrid/>
          <w:spacing w:val="3"/>
          <w:kern w:val="2"/>
          <w:szCs w:val="32"/>
        </w:rPr>
      </w:pPr>
      <w:r>
        <w:rPr>
          <w:rFonts w:hint="eastAsia" w:ascii="仿宋_GB2312" w:hAnsi="Times New Roman" w:eastAsia="仿宋_GB2312"/>
          <w:b/>
          <w:snapToGrid/>
          <w:spacing w:val="3"/>
          <w:kern w:val="2"/>
          <w:szCs w:val="32"/>
        </w:rPr>
        <w:t>4、社会保险基金预算。</w:t>
      </w:r>
      <w:r>
        <w:rPr>
          <w:rFonts w:hint="eastAsia" w:ascii="仿宋_GB2312" w:hAnsi="Times New Roman" w:eastAsia="仿宋_GB2312"/>
          <w:snapToGrid/>
          <w:spacing w:val="3"/>
          <w:kern w:val="2"/>
          <w:szCs w:val="32"/>
        </w:rPr>
        <w:t>县十五届人大四次会议批准的全县社会保险基金预算收入为1.17亿元，实际完成1.23亿元，为预算的105.5%。支出预算为8745万元，实际完成9629万元，为预算的110.1%。</w:t>
      </w:r>
    </w:p>
    <w:p w14:paraId="65D1D9E2">
      <w:pPr>
        <w:keepNext w:val="0"/>
        <w:keepLines w:val="0"/>
        <w:pageBreakBefore w:val="0"/>
        <w:kinsoku/>
        <w:wordWrap/>
        <w:overflowPunct/>
        <w:autoSpaceDE/>
        <w:bidi w:val="0"/>
        <w:spacing w:line="558" w:lineRule="exact"/>
        <w:ind w:firstLine="654"/>
        <w:textAlignment w:val="auto"/>
        <w:rPr>
          <w:rFonts w:ascii="楷体_GB2312" w:hAnsi="楷体" w:eastAsia="楷体_GB2312"/>
          <w:b/>
          <w:bCs/>
          <w:snapToGrid/>
          <w:spacing w:val="3"/>
          <w:kern w:val="2"/>
          <w:szCs w:val="32"/>
        </w:rPr>
      </w:pPr>
      <w:r>
        <w:rPr>
          <w:rFonts w:hint="eastAsia" w:ascii="楷体_GB2312" w:hAnsi="楷体" w:eastAsia="楷体_GB2312"/>
          <w:b/>
          <w:bCs/>
          <w:snapToGrid/>
          <w:spacing w:val="3"/>
          <w:kern w:val="2"/>
          <w:szCs w:val="32"/>
        </w:rPr>
        <w:t>（二）政府债务情况</w:t>
      </w:r>
    </w:p>
    <w:p w14:paraId="4DC20FD7">
      <w:pPr>
        <w:keepNext w:val="0"/>
        <w:keepLines w:val="0"/>
        <w:pageBreakBefore w:val="0"/>
        <w:kinsoku/>
        <w:wordWrap/>
        <w:overflowPunct/>
        <w:autoSpaceDE/>
        <w:autoSpaceDN w:val="0"/>
        <w:bidi w:val="0"/>
        <w:adjustRightInd/>
        <w:snapToGrid/>
        <w:spacing w:line="558" w:lineRule="exact"/>
        <w:ind w:firstLine="640"/>
        <w:textAlignment w:val="auto"/>
        <w:rPr>
          <w:rFonts w:ascii="仿宋_GB2312" w:hAnsi="Times New Roman" w:eastAsia="仿宋_GB2312"/>
          <w:snapToGrid/>
          <w:kern w:val="2"/>
          <w:szCs w:val="32"/>
        </w:rPr>
      </w:pPr>
      <w:r>
        <w:rPr>
          <w:rFonts w:hint="eastAsia" w:ascii="仿宋_GB2312" w:hAnsi="Times New Roman" w:eastAsia="仿宋_GB2312"/>
          <w:snapToGrid/>
          <w:kern w:val="2"/>
          <w:szCs w:val="32"/>
        </w:rPr>
        <w:t>省财政厅核定我县2024年政府债务限额57.99亿元，其中：一般债务限额13.08亿元，专项债务限额44.91亿元。</w:t>
      </w:r>
    </w:p>
    <w:p w14:paraId="309A458C">
      <w:pPr>
        <w:keepNext w:val="0"/>
        <w:keepLines w:val="0"/>
        <w:pageBreakBefore w:val="0"/>
        <w:kinsoku/>
        <w:wordWrap/>
        <w:overflowPunct/>
        <w:autoSpaceDE/>
        <w:autoSpaceDN w:val="0"/>
        <w:bidi w:val="0"/>
        <w:adjustRightInd/>
        <w:snapToGrid/>
        <w:spacing w:line="558" w:lineRule="exact"/>
        <w:ind w:firstLine="640"/>
        <w:textAlignment w:val="auto"/>
        <w:rPr>
          <w:rFonts w:ascii="仿宋_GB2312" w:hAnsi="Times New Roman" w:eastAsia="仿宋_GB2312"/>
          <w:snapToGrid/>
          <w:kern w:val="2"/>
          <w:szCs w:val="32"/>
        </w:rPr>
      </w:pPr>
      <w:r>
        <w:rPr>
          <w:rFonts w:hint="eastAsia" w:ascii="仿宋_GB2312" w:hAnsi="Times New Roman" w:eastAsia="仿宋_GB2312"/>
          <w:snapToGrid/>
          <w:kern w:val="2"/>
          <w:szCs w:val="32"/>
        </w:rPr>
        <w:t>截至2024年底，我县政府债务余额为57.62亿元，其中：一般债务13.07亿元，专项债务44.55亿元。</w:t>
      </w:r>
    </w:p>
    <w:p w14:paraId="62E4CBA0">
      <w:pPr>
        <w:keepNext w:val="0"/>
        <w:keepLines w:val="0"/>
        <w:pageBreakBefore w:val="0"/>
        <w:kinsoku/>
        <w:wordWrap/>
        <w:overflowPunct/>
        <w:autoSpaceDE/>
        <w:autoSpaceDN w:val="0"/>
        <w:bidi w:val="0"/>
        <w:adjustRightInd/>
        <w:snapToGrid/>
        <w:spacing w:line="558" w:lineRule="exact"/>
        <w:ind w:firstLine="640"/>
        <w:textAlignment w:val="auto"/>
        <w:rPr>
          <w:rFonts w:ascii="仿宋_GB2312" w:hAnsi="Times New Roman" w:eastAsia="仿宋_GB2312"/>
          <w:snapToGrid/>
          <w:kern w:val="2"/>
          <w:szCs w:val="32"/>
        </w:rPr>
      </w:pPr>
      <w:r>
        <w:rPr>
          <w:rFonts w:hint="eastAsia" w:ascii="仿宋_GB2312" w:hAnsi="Times New Roman" w:eastAsia="仿宋_GB2312"/>
          <w:snapToGrid/>
          <w:kern w:val="2"/>
          <w:szCs w:val="32"/>
        </w:rPr>
        <w:t>2024年，我县共发行政府债券11.27亿元，其中：一般债券5200万元，专项债券10.75亿元（新增专项债券3.38亿元，置换存量隐性债务专项债券3.9亿元，补充政府性基金财力专项债券1.05亿元，再融资专项债券2.42亿元）。</w:t>
      </w:r>
    </w:p>
    <w:p w14:paraId="188EDA16">
      <w:pPr>
        <w:keepNext w:val="0"/>
        <w:keepLines w:val="0"/>
        <w:pageBreakBefore w:val="0"/>
        <w:kinsoku/>
        <w:wordWrap/>
        <w:overflowPunct/>
        <w:autoSpaceDE/>
        <w:autoSpaceDN w:val="0"/>
        <w:bidi w:val="0"/>
        <w:adjustRightInd/>
        <w:snapToGrid/>
        <w:spacing w:line="558" w:lineRule="exact"/>
        <w:ind w:firstLine="640"/>
        <w:textAlignment w:val="auto"/>
        <w:rPr>
          <w:rFonts w:ascii="仿宋_GB2312" w:hAnsi="Times New Roman" w:eastAsia="仿宋_GB2312"/>
          <w:snapToGrid/>
          <w:kern w:val="2"/>
          <w:szCs w:val="32"/>
        </w:rPr>
      </w:pPr>
      <w:r>
        <w:rPr>
          <w:rFonts w:hint="eastAsia" w:ascii="仿宋_GB2312" w:hAnsi="Times New Roman" w:eastAsia="仿宋_GB2312"/>
          <w:snapToGrid/>
          <w:kern w:val="2"/>
          <w:szCs w:val="32"/>
        </w:rPr>
        <w:t>2024年，我县政府债务还本付息4.2亿元（还本2.69亿元，付息1.51亿元）。</w:t>
      </w:r>
    </w:p>
    <w:p w14:paraId="1EB4F431">
      <w:pPr>
        <w:keepNext w:val="0"/>
        <w:keepLines w:val="0"/>
        <w:pageBreakBefore w:val="0"/>
        <w:kinsoku/>
        <w:wordWrap/>
        <w:overflowPunct/>
        <w:autoSpaceDE/>
        <w:autoSpaceDN w:val="0"/>
        <w:bidi w:val="0"/>
        <w:adjustRightInd/>
        <w:snapToGrid/>
        <w:spacing w:line="558" w:lineRule="exact"/>
        <w:ind w:firstLine="640"/>
        <w:textAlignment w:val="auto"/>
        <w:rPr>
          <w:rFonts w:ascii="仿宋_GB2312" w:hAnsi="Times New Roman" w:eastAsia="仿宋_GB2312"/>
          <w:snapToGrid/>
          <w:spacing w:val="3"/>
          <w:kern w:val="2"/>
          <w:szCs w:val="32"/>
        </w:rPr>
      </w:pPr>
      <w:r>
        <w:rPr>
          <w:rFonts w:hint="eastAsia" w:ascii="仿宋_GB2312" w:hAnsi="Times New Roman" w:eastAsia="仿宋_GB2312"/>
          <w:snapToGrid/>
          <w:kern w:val="2"/>
          <w:szCs w:val="32"/>
        </w:rPr>
        <w:t>以上收支均为快报数，待与上级财政结算后，最终决算数另行向县人大常委会报告。</w:t>
      </w:r>
    </w:p>
    <w:p w14:paraId="51FB1ACB">
      <w:pPr>
        <w:keepNext w:val="0"/>
        <w:keepLines w:val="0"/>
        <w:pageBreakBefore w:val="0"/>
        <w:kinsoku/>
        <w:wordWrap/>
        <w:overflowPunct/>
        <w:topLinePunct/>
        <w:autoSpaceDE/>
        <w:bidi w:val="0"/>
        <w:adjustRightInd/>
        <w:snapToGrid/>
        <w:spacing w:line="558" w:lineRule="exact"/>
        <w:ind w:firstLine="652"/>
        <w:textAlignment w:val="auto"/>
        <w:rPr>
          <w:rFonts w:ascii="黑体" w:hAnsi="黑体" w:eastAsia="黑体"/>
          <w:snapToGrid/>
          <w:spacing w:val="3"/>
          <w:kern w:val="2"/>
          <w:szCs w:val="32"/>
        </w:rPr>
      </w:pPr>
      <w:r>
        <w:rPr>
          <w:rFonts w:hint="eastAsia" w:ascii="黑体" w:hAnsi="黑体" w:eastAsia="黑体"/>
          <w:snapToGrid/>
          <w:spacing w:val="3"/>
          <w:kern w:val="2"/>
          <w:szCs w:val="32"/>
        </w:rPr>
        <w:t>二、落实县人大决议和主要财政工作情况</w:t>
      </w:r>
    </w:p>
    <w:p w14:paraId="33BB750F">
      <w:pPr>
        <w:keepNext w:val="0"/>
        <w:keepLines w:val="0"/>
        <w:pageBreakBefore w:val="0"/>
        <w:kinsoku/>
        <w:wordWrap/>
        <w:overflowPunct/>
        <w:autoSpaceDE/>
        <w:autoSpaceDN w:val="0"/>
        <w:bidi w:val="0"/>
        <w:adjustRightInd/>
        <w:snapToGrid/>
        <w:spacing w:line="558" w:lineRule="exact"/>
        <w:ind w:firstLine="652"/>
        <w:textAlignment w:val="auto"/>
        <w:rPr>
          <w:rFonts w:ascii="仿宋_GB2312" w:hAnsi="Times New Roman" w:eastAsia="仿宋_GB2312"/>
          <w:snapToGrid/>
          <w:kern w:val="2"/>
          <w:szCs w:val="32"/>
        </w:rPr>
      </w:pPr>
      <w:r>
        <w:rPr>
          <w:rFonts w:hint="eastAsia" w:ascii="仿宋_GB2312" w:hAnsi="Times New Roman" w:eastAsia="仿宋_GB2312"/>
          <w:snapToGrid/>
          <w:spacing w:val="3"/>
          <w:kern w:val="2"/>
          <w:szCs w:val="32"/>
        </w:rPr>
        <w:t>2024年，</w:t>
      </w:r>
      <w:r>
        <w:rPr>
          <w:rFonts w:hint="eastAsia" w:ascii="仿宋_GB2312" w:hAnsi="Times New Roman" w:eastAsia="仿宋_GB2312"/>
          <w:snapToGrid/>
          <w:kern w:val="2"/>
          <w:szCs w:val="32"/>
        </w:rPr>
        <w:t>根据县十五届人大四次会议有关决议和县人大财政经济委员会审查意见，重点推进了以下几方面工作：</w:t>
      </w:r>
    </w:p>
    <w:p w14:paraId="2972F556">
      <w:pPr>
        <w:keepNext w:val="0"/>
        <w:keepLines w:val="0"/>
        <w:pageBreakBefore w:val="0"/>
        <w:kinsoku/>
        <w:wordWrap/>
        <w:overflowPunct/>
        <w:autoSpaceDE/>
        <w:autoSpaceDN w:val="0"/>
        <w:bidi w:val="0"/>
        <w:adjustRightInd/>
        <w:snapToGrid/>
        <w:spacing w:line="558" w:lineRule="exact"/>
        <w:ind w:firstLine="643"/>
        <w:textAlignment w:val="auto"/>
        <w:rPr>
          <w:rStyle w:val="26"/>
          <w:rFonts w:ascii="仿宋_GB2312" w:eastAsia="仿宋_GB2312"/>
          <w:color w:val="000000"/>
          <w:szCs w:val="32"/>
        </w:rPr>
      </w:pPr>
      <w:r>
        <w:rPr>
          <w:rStyle w:val="16"/>
          <w:rFonts w:hint="eastAsia" w:ascii="楷体_GB2312" w:hAnsi="楷体_GB2312" w:eastAsia="楷体_GB2312" w:cs="楷体_GB2312"/>
          <w:szCs w:val="32"/>
          <w:shd w:val="clear" w:color="auto" w:fill="FFFFFF"/>
        </w:rPr>
        <w:t>（一）做好“开源”文章，再创“争取”新高。</w:t>
      </w:r>
      <w:r>
        <w:rPr>
          <w:rFonts w:hint="eastAsia" w:ascii="仿宋_GB2312" w:hAnsi="Times New Roman" w:eastAsia="仿宋_GB2312"/>
          <w:b/>
          <w:kern w:val="2"/>
          <w:szCs w:val="32"/>
        </w:rPr>
        <w:t>一是争取债券资金，推动项目建设</w:t>
      </w:r>
      <w:r>
        <w:rPr>
          <w:rStyle w:val="26"/>
          <w:rFonts w:hint="eastAsia" w:ascii="仿宋_GB2312" w:eastAsia="仿宋_GB2312"/>
          <w:b/>
          <w:bCs/>
          <w:szCs w:val="32"/>
        </w:rPr>
        <w:t>。</w:t>
      </w:r>
      <w:r>
        <w:rPr>
          <w:rStyle w:val="26"/>
          <w:rFonts w:hint="eastAsia" w:ascii="仿宋_GB2312" w:eastAsia="仿宋_GB2312"/>
          <w:szCs w:val="32"/>
        </w:rPr>
        <w:t>抢抓“一揽子增量政策”重大机遇，</w:t>
      </w:r>
      <w:r>
        <w:rPr>
          <w:rFonts w:hint="eastAsia" w:ascii="仿宋_GB2312" w:hAnsi="Times New Roman" w:eastAsia="仿宋_GB2312"/>
          <w:bCs/>
          <w:kern w:val="2"/>
          <w:szCs w:val="32"/>
        </w:rPr>
        <w:t>发挥债券资金对稳投资、扩内需、补短板的作用，2</w:t>
      </w:r>
      <w:r>
        <w:rPr>
          <w:rFonts w:ascii="仿宋_GB2312" w:hAnsi="Times New Roman" w:eastAsia="仿宋_GB2312"/>
          <w:bCs/>
          <w:kern w:val="2"/>
          <w:szCs w:val="32"/>
        </w:rPr>
        <w:t>02</w:t>
      </w:r>
      <w:r>
        <w:rPr>
          <w:rFonts w:hint="eastAsia" w:ascii="仿宋_GB2312" w:hAnsi="Times New Roman" w:eastAsia="仿宋_GB2312"/>
          <w:bCs/>
          <w:kern w:val="2"/>
          <w:szCs w:val="32"/>
        </w:rPr>
        <w:t>4年</w:t>
      </w:r>
      <w:r>
        <w:rPr>
          <w:rFonts w:hint="eastAsia" w:ascii="仿宋_GB2312" w:hAnsi="Times New Roman" w:eastAsia="仿宋_GB2312"/>
          <w:szCs w:val="32"/>
        </w:rPr>
        <w:t>争取新增</w:t>
      </w:r>
      <w:r>
        <w:rPr>
          <w:rFonts w:hint="eastAsia" w:ascii="仿宋_GB2312" w:hAnsi="仿宋_GB2312" w:eastAsia="仿宋_GB2312" w:cs="仿宋_GB2312"/>
          <w:szCs w:val="32"/>
        </w:rPr>
        <w:t>专项债券资金10.75亿元，包括：</w:t>
      </w:r>
      <w:r>
        <w:rPr>
          <w:rFonts w:hint="eastAsia" w:ascii="仿宋_GB2312" w:hAnsi="Times New Roman" w:eastAsia="仿宋_GB2312"/>
          <w:snapToGrid/>
          <w:kern w:val="2"/>
          <w:szCs w:val="32"/>
        </w:rPr>
        <w:t>新增专项债券3.38亿元，置换存量隐性债务专项债券3.9亿元，补充政府性基金财力专项债券1.05亿元，再融资专项债券2.42亿元。</w:t>
      </w:r>
      <w:r>
        <w:rPr>
          <w:rStyle w:val="26"/>
          <w:rFonts w:hint="eastAsia" w:ascii="仿宋_GB2312" w:eastAsia="仿宋_GB2312"/>
          <w:szCs w:val="32"/>
        </w:rPr>
        <w:t>用于</w:t>
      </w:r>
      <w:r>
        <w:rPr>
          <w:rFonts w:hint="eastAsia" w:ascii="仿宋_GB2312" w:hAnsi="仿宋_GB2312" w:eastAsia="仿宋_GB2312" w:cs="仿宋_GB2312"/>
          <w:szCs w:val="32"/>
        </w:rPr>
        <w:t>玉皇庙沟至新华街城中村改造、中医院医养结合</w:t>
      </w:r>
      <w:r>
        <w:rPr>
          <w:rStyle w:val="26"/>
          <w:rFonts w:hint="eastAsia" w:ascii="仿宋_GB2312" w:eastAsia="仿宋_GB2312"/>
          <w:szCs w:val="32"/>
        </w:rPr>
        <w:t>等重点项目以及化解政府存量项目和置换隐性债务等</w:t>
      </w:r>
      <w:r>
        <w:rPr>
          <w:rFonts w:hint="eastAsia" w:ascii="仿宋_GB2312" w:hAnsi="Times New Roman" w:eastAsia="仿宋_GB2312"/>
          <w:snapToGrid/>
          <w:kern w:val="2"/>
          <w:szCs w:val="32"/>
        </w:rPr>
        <w:t>。</w:t>
      </w:r>
      <w:r>
        <w:rPr>
          <w:rStyle w:val="26"/>
          <w:rFonts w:hint="eastAsia" w:ascii="仿宋_GB2312" w:eastAsia="仿宋_GB2312"/>
          <w:b/>
          <w:szCs w:val="32"/>
        </w:rPr>
        <w:t>二是</w:t>
      </w:r>
      <w:r>
        <w:rPr>
          <w:rFonts w:hint="eastAsia" w:ascii="仿宋_GB2312" w:hAnsi="Times New Roman" w:eastAsia="仿宋_GB2312"/>
          <w:b/>
          <w:bCs/>
          <w:szCs w:val="32"/>
        </w:rPr>
        <w:t>争取上</w:t>
      </w:r>
      <w:bookmarkStart w:id="0" w:name="_GoBack"/>
      <w:bookmarkEnd w:id="0"/>
      <w:r>
        <w:rPr>
          <w:rFonts w:hint="eastAsia" w:ascii="仿宋_GB2312" w:hAnsi="Times New Roman" w:eastAsia="仿宋_GB2312"/>
          <w:b/>
          <w:bCs/>
          <w:szCs w:val="32"/>
        </w:rPr>
        <w:t>级资金，强化资金保障。</w:t>
      </w:r>
      <w:r>
        <w:rPr>
          <w:rStyle w:val="26"/>
          <w:rFonts w:hint="eastAsia" w:ascii="仿宋_GB2312" w:eastAsia="仿宋_GB2312"/>
          <w:color w:val="000000"/>
          <w:szCs w:val="32"/>
        </w:rPr>
        <w:t>深入研究中央、省、市各级政策文件精神，明确重点支持领域，根据上级资金投向，谋划符合政策导向的项目，紧盯事关我县长远发展的城市建设、经济发展、民生改善等重点和关键项目，围绕补短板强弱项有针对性的组织项目申报，加强与上级部门的沟通对接，最大限度争取上级资金，全年争取政策资金9.86亿元，有效缓解了财政压力。</w:t>
      </w:r>
      <w:r>
        <w:rPr>
          <w:rFonts w:hint="eastAsia" w:ascii="仿宋_GB2312" w:hAnsi="Times New Roman" w:eastAsia="仿宋_GB2312"/>
          <w:b/>
          <w:kern w:val="2"/>
          <w:szCs w:val="32"/>
        </w:rPr>
        <w:t>三是稳住经济大盘，激发市场活力。</w:t>
      </w:r>
      <w:r>
        <w:rPr>
          <w:rFonts w:hint="eastAsia" w:ascii="仿宋_GB2312" w:hAnsi="Times New Roman" w:eastAsia="仿宋_GB2312"/>
          <w:bCs/>
          <w:kern w:val="2"/>
          <w:szCs w:val="32"/>
        </w:rPr>
        <w:t>以延续和优化实施的税费优惠政策为抓手，</w:t>
      </w:r>
      <w:r>
        <w:rPr>
          <w:rFonts w:hint="eastAsia" w:ascii="仿宋_GB2312" w:hAnsi="Times New Roman" w:eastAsia="仿宋_GB2312"/>
          <w:snapToGrid/>
          <w:kern w:val="2"/>
          <w:szCs w:val="32"/>
        </w:rPr>
        <w:t>精准落实一系列税费优惠政策，让税费红利直达经营主体，不断推动企业运行逐步好转、内生动力持续增强，</w:t>
      </w:r>
      <w:r>
        <w:rPr>
          <w:rFonts w:hint="eastAsia" w:ascii="仿宋_GB2312" w:hAnsi="Times New Roman" w:eastAsia="仿宋_GB2312"/>
          <w:bCs/>
          <w:kern w:val="2"/>
          <w:szCs w:val="32"/>
        </w:rPr>
        <w:t>2024年累计减免退缓税费1.16亿元，其中：新增税费退减免政策8613万元，即征即退、企业所得税汇算清缴退税、首违不罚等退税1948万元，增值税留抵退税493万元，个人所得税汇算清缴退税515万元。</w:t>
      </w:r>
      <w:r>
        <w:rPr>
          <w:rFonts w:hint="eastAsia" w:ascii="仿宋_GB2312" w:hAnsi="仿宋_GB2312" w:eastAsia="仿宋_GB2312" w:cs="仿宋_GB2312"/>
          <w:szCs w:val="32"/>
        </w:rPr>
        <w:t>抢抓国家推动大规模设备更新和消费品以旧换新机遇，争取大规模设备更新改造资金1559万元，增进企业发展信心。开展促消费及消费品以旧换新工作，共计开展京东家电专项惠民补贴、电动自行车以旧换新、家居厨卫焕新等4次活动</w:t>
      </w:r>
      <w:r>
        <w:rPr>
          <w:rFonts w:hint="eastAsia" w:ascii="仿宋_GB2312" w:hAnsi="Times New Roman" w:eastAsia="仿宋_GB2312"/>
          <w:bCs/>
          <w:kern w:val="2"/>
          <w:szCs w:val="32"/>
        </w:rPr>
        <w:t>，提振市场信心，活跃消费市场，促进消费持续恢复发展。</w:t>
      </w:r>
      <w:r>
        <w:rPr>
          <w:rFonts w:hint="eastAsia" w:ascii="仿宋_GB2312" w:hAnsi="仿宋_GB2312" w:eastAsia="仿宋_GB2312" w:cs="仿宋_GB2312"/>
          <w:b/>
          <w:szCs w:val="32"/>
        </w:rPr>
        <w:t>四是优化营商环境，支持企业发展。</w:t>
      </w:r>
      <w:r>
        <w:rPr>
          <w:rFonts w:hint="eastAsia" w:ascii="仿宋_GB2312" w:hAnsi="仿宋" w:eastAsia="仿宋_GB2312"/>
          <w:szCs w:val="32"/>
        </w:rPr>
        <w:t>强化中小企业融资支持力度，针对中小企业制定更灵活的融资政策，重点支持中小企业的融资需求，降低其融资成本，提高融资可获得性。开展“千企万户大走访”行动，累计为425家企业发放贷款46.91亿元。</w:t>
      </w:r>
      <w:r>
        <w:rPr>
          <w:rStyle w:val="26"/>
          <w:rFonts w:hint="eastAsia" w:ascii="仿宋_GB2312" w:eastAsia="仿宋_GB2312"/>
          <w:color w:val="000000"/>
          <w:szCs w:val="32"/>
        </w:rPr>
        <w:t>深入开展“万人助万企”活动，推动政策精准入企、落地惠企。简化审批流程，推行“一窗受理、集成服务”，提高面向中小企业的政府采购预留份额，加大小微企业价格评审优惠。不断完善产业园区配套基础设施建设，英张园区、天坛园区等基础设施不断完善，依托资源优势，培育产业生态，实现“小县域、大作为”。</w:t>
      </w:r>
    </w:p>
    <w:p w14:paraId="3876DA9F">
      <w:pPr>
        <w:keepNext w:val="0"/>
        <w:keepLines w:val="0"/>
        <w:pageBreakBefore w:val="0"/>
        <w:kinsoku/>
        <w:wordWrap/>
        <w:overflowPunct/>
        <w:autoSpaceDE/>
        <w:autoSpaceDN w:val="0"/>
        <w:bidi w:val="0"/>
        <w:adjustRightInd/>
        <w:snapToGrid/>
        <w:spacing w:line="558" w:lineRule="exact"/>
        <w:ind w:firstLine="643"/>
        <w:textAlignment w:val="auto"/>
        <w:rPr>
          <w:rStyle w:val="26"/>
          <w:rFonts w:ascii="仿宋_GB2312" w:eastAsia="仿宋_GB2312"/>
          <w:color w:val="auto"/>
          <w:szCs w:val="32"/>
        </w:rPr>
      </w:pPr>
      <w:r>
        <w:rPr>
          <w:rStyle w:val="26"/>
          <w:rFonts w:hint="eastAsia" w:ascii="楷体_GB2312" w:hAnsi="楷体_GB2312" w:eastAsia="楷体_GB2312" w:cs="楷体_GB2312"/>
          <w:b/>
          <w:bCs/>
          <w:color w:val="000000"/>
          <w:szCs w:val="32"/>
        </w:rPr>
        <w:t>（二）下足“堵漏”功夫，兜牢“三保”底线。</w:t>
      </w:r>
      <w:r>
        <w:rPr>
          <w:rStyle w:val="26"/>
          <w:rFonts w:hint="eastAsia" w:ascii="仿宋_GB2312" w:eastAsia="仿宋_GB2312"/>
          <w:color w:val="000000"/>
          <w:szCs w:val="32"/>
        </w:rPr>
        <w:t>挖潜力外抓引资，推动经济稳步增长。</w:t>
      </w:r>
      <w:r>
        <w:rPr>
          <w:rStyle w:val="26"/>
          <w:rFonts w:hint="eastAsia" w:ascii="仿宋_GB2312" w:eastAsia="仿宋_GB2312"/>
          <w:b/>
          <w:bCs/>
          <w:color w:val="000000"/>
          <w:szCs w:val="32"/>
        </w:rPr>
        <w:t>一是加强沟通协调，堵塞跑冒滴漏。</w:t>
      </w:r>
      <w:r>
        <w:rPr>
          <w:rStyle w:val="26"/>
          <w:rFonts w:hint="eastAsia" w:ascii="仿宋_GB2312" w:eastAsia="仿宋_GB2312"/>
          <w:color w:val="000000"/>
          <w:szCs w:val="32"/>
        </w:rPr>
        <w:t>坚持“依法依规、信息共享、联合惩戒、整体联动”原则，充分发挥各部门职能，通过“大数据+各部门涉税信息共享”，掌握纳税人多维度经济数据信息，全面了解行业经营特性及经济情况，精准摸排中小和零散企业等分散税源，堵塞跑冒滴漏，确保应收尽收。</w:t>
      </w:r>
      <w:r>
        <w:rPr>
          <w:rStyle w:val="26"/>
          <w:rFonts w:hint="eastAsia" w:ascii="仿宋_GB2312" w:eastAsia="仿宋_GB2312"/>
          <w:b/>
          <w:bCs/>
          <w:color w:val="000000"/>
          <w:szCs w:val="32"/>
        </w:rPr>
        <w:t>二是加强招商引资，促进经济发展。</w:t>
      </w:r>
      <w:r>
        <w:rPr>
          <w:rStyle w:val="26"/>
          <w:rFonts w:hint="eastAsia" w:ascii="仿宋_GB2312" w:eastAsia="仿宋_GB2312"/>
          <w:color w:val="000000"/>
          <w:szCs w:val="32"/>
        </w:rPr>
        <w:t>招商引资是推动地方经济发展、优化产业结构、增加就业和财政收入的重要手段，县政府结合国家政策和区域发展规划，立足县域优势，精准产业定位，创新招商模式，</w:t>
      </w:r>
      <w:r>
        <w:rPr>
          <w:rStyle w:val="26"/>
          <w:rFonts w:hint="eastAsia" w:ascii="仿宋_GB2312" w:eastAsia="仿宋_GB2312"/>
          <w:color w:val="auto"/>
          <w:szCs w:val="32"/>
        </w:rPr>
        <w:t>通过链上招商、以商招商，全年累计签约项目35个，总投资</w:t>
      </w:r>
      <w:r>
        <w:rPr>
          <w:rStyle w:val="26"/>
          <w:rFonts w:hint="eastAsia" w:ascii="仿宋_GB2312" w:eastAsia="仿宋_GB2312"/>
          <w:color w:val="auto"/>
          <w:szCs w:val="32"/>
          <w:lang w:val="en-US" w:eastAsia="zh-CN"/>
        </w:rPr>
        <w:t>163.8</w:t>
      </w:r>
      <w:r>
        <w:rPr>
          <w:rStyle w:val="26"/>
          <w:rFonts w:hint="eastAsia" w:ascii="仿宋_GB2312" w:eastAsia="仿宋_GB2312"/>
          <w:color w:val="auto"/>
          <w:szCs w:val="32"/>
        </w:rPr>
        <w:t>亿元，实现从输血到造血的转变，推动县域经济高质量发展。</w:t>
      </w:r>
      <w:r>
        <w:rPr>
          <w:rStyle w:val="26"/>
          <w:rFonts w:hint="eastAsia" w:ascii="仿宋_GB2312" w:eastAsia="仿宋_GB2312"/>
          <w:b/>
          <w:bCs/>
          <w:color w:val="auto"/>
          <w:szCs w:val="32"/>
        </w:rPr>
        <w:t>三是坚持厉行节约，兜牢“三保”底线。</w:t>
      </w:r>
      <w:r>
        <w:rPr>
          <w:rStyle w:val="26"/>
          <w:rFonts w:hint="eastAsia" w:ascii="仿宋_GB2312" w:eastAsia="仿宋_GB2312"/>
          <w:color w:val="auto"/>
          <w:szCs w:val="32"/>
        </w:rPr>
        <w:t>坚决兜牢基层“三保”底线。坚持将“三保”摆在财政工作最优先位置，持续完善并严格落实涵盖预算编制、预算执行、动态监测、应急处置、考核奖惩的“三保”全过程闭环制度体系。实施“三保”标识管理和月度“三保”支出调度管理，强化监测预警。严格贯彻落实省政府印发的《党政机关习惯过紧日子要求》通知，进一步健全过紧日子长效机制。坚持厉行节约办一切事业，在编制2024年预算时，大力压减一般性支出，经常性项目支出按5%压减，持续压减非刚性、非重点项目支出和公用经费，强化“三公”经费管理，切实做到“小钱小气”。2024年财政评审项目154个，送审金额11.45亿元，审定金额10.33亿元，综合审减率9.7</w:t>
      </w:r>
      <w:r>
        <w:rPr>
          <w:rStyle w:val="26"/>
          <w:rFonts w:hint="eastAsia" w:ascii="仿宋_GB2312" w:eastAsia="仿宋_GB2312"/>
          <w:color w:val="auto"/>
          <w:szCs w:val="32"/>
          <w:lang w:val="en-US" w:eastAsia="zh-CN"/>
        </w:rPr>
        <w:t>8</w:t>
      </w:r>
      <w:r>
        <w:rPr>
          <w:rStyle w:val="26"/>
          <w:rFonts w:hint="eastAsia" w:ascii="仿宋_GB2312" w:eastAsia="仿宋_GB2312"/>
          <w:color w:val="auto"/>
          <w:szCs w:val="32"/>
        </w:rPr>
        <w:t>%，审减项目资金1.1</w:t>
      </w:r>
      <w:r>
        <w:rPr>
          <w:rStyle w:val="26"/>
          <w:rFonts w:hint="eastAsia" w:ascii="仿宋_GB2312" w:eastAsia="仿宋_GB2312"/>
          <w:color w:val="auto"/>
          <w:szCs w:val="32"/>
          <w:lang w:val="en-US" w:eastAsia="zh-CN"/>
        </w:rPr>
        <w:t>2</w:t>
      </w:r>
      <w:r>
        <w:rPr>
          <w:rStyle w:val="26"/>
          <w:rFonts w:hint="eastAsia" w:ascii="仿宋_GB2312" w:eastAsia="仿宋_GB2312"/>
          <w:color w:val="auto"/>
          <w:szCs w:val="32"/>
        </w:rPr>
        <w:t>亿元，统筹用于惠民生、补短板等重点支出领域。</w:t>
      </w:r>
      <w:r>
        <w:rPr>
          <w:rStyle w:val="26"/>
          <w:rFonts w:hint="eastAsia" w:ascii="仿宋_GB2312" w:eastAsia="仿宋_GB2312"/>
          <w:b/>
          <w:bCs/>
          <w:color w:val="auto"/>
          <w:szCs w:val="32"/>
        </w:rPr>
        <w:t>四是盘活存量资金，提升资金效益。</w:t>
      </w:r>
      <w:r>
        <w:rPr>
          <w:rStyle w:val="26"/>
          <w:rFonts w:hint="eastAsia" w:ascii="仿宋_GB2312" w:eastAsia="仿宋_GB2312"/>
          <w:color w:val="auto"/>
          <w:szCs w:val="32"/>
        </w:rPr>
        <w:t>实行更为严格的财政结余结转资金管理，县级预算安排的项目支出，除确需继续使用的，其余一律收回，全年共盘活各类财政存量资金1586万元，根据轻重缓急，优先用于“三保”等重点支出。</w:t>
      </w:r>
    </w:p>
    <w:p w14:paraId="099AE44C">
      <w:pPr>
        <w:pStyle w:val="11"/>
        <w:keepNext w:val="0"/>
        <w:keepLines w:val="0"/>
        <w:pageBreakBefore w:val="0"/>
        <w:widowControl w:val="0"/>
        <w:kinsoku/>
        <w:wordWrap/>
        <w:overflowPunct/>
        <w:autoSpaceDE/>
        <w:bidi w:val="0"/>
        <w:spacing w:before="0" w:beforeAutospacing="0" w:after="0" w:afterAutospacing="0" w:line="558" w:lineRule="exact"/>
        <w:ind w:firstLine="645"/>
        <w:jc w:val="both"/>
        <w:textAlignment w:val="auto"/>
        <w:rPr>
          <w:rFonts w:ascii="仿宋_GB2312" w:hAnsi="仿宋_GB2312" w:eastAsia="仿宋_GB2312" w:cs="仿宋_GB2312"/>
          <w:sz w:val="32"/>
          <w:szCs w:val="32"/>
        </w:rPr>
      </w:pPr>
      <w:r>
        <w:rPr>
          <w:rStyle w:val="26"/>
          <w:rFonts w:hint="eastAsia" w:ascii="楷体_GB2312" w:hAnsi="楷体_GB2312" w:eastAsia="楷体_GB2312" w:cs="楷体_GB2312"/>
          <w:b/>
          <w:bCs/>
          <w:snapToGrid w:val="0"/>
          <w:color w:val="auto"/>
          <w:sz w:val="32"/>
          <w:szCs w:val="32"/>
        </w:rPr>
        <w:t>（三）坚持惠民导向，绘就幸福底色。</w:t>
      </w:r>
      <w:r>
        <w:rPr>
          <w:rFonts w:hint="eastAsia" w:ascii="仿宋_GB2312" w:hAnsi="仿宋_GB2312" w:eastAsia="仿宋_GB2312" w:cs="仿宋_GB2312"/>
          <w:color w:val="auto"/>
          <w:sz w:val="32"/>
          <w:szCs w:val="32"/>
        </w:rPr>
        <w:t>持续办好重点民生实事，2024年全县民生支出</w:t>
      </w:r>
      <w:r>
        <w:rPr>
          <w:rFonts w:hint="eastAsia" w:ascii="仿宋_GB2312" w:hAnsi="仿宋_GB2312" w:eastAsia="仿宋_GB2312" w:cs="仿宋_GB2312"/>
          <w:color w:val="auto"/>
          <w:sz w:val="32"/>
          <w:szCs w:val="32"/>
          <w:lang w:val="en-US" w:eastAsia="zh-CN"/>
        </w:rPr>
        <w:t>23.4</w:t>
      </w:r>
      <w:r>
        <w:rPr>
          <w:rFonts w:hint="eastAsia" w:ascii="仿宋_GB2312" w:hAnsi="仿宋_GB2312" w:eastAsia="仿宋_GB2312" w:cs="仿宋_GB2312"/>
          <w:color w:val="auto"/>
          <w:sz w:val="32"/>
          <w:szCs w:val="32"/>
        </w:rPr>
        <w:t>亿元，占一般公共预算支出</w:t>
      </w:r>
      <w:r>
        <w:rPr>
          <w:rFonts w:hint="eastAsia" w:ascii="仿宋_GB2312" w:hAnsi="仿宋_GB2312" w:eastAsia="仿宋_GB2312" w:cs="仿宋_GB2312"/>
          <w:color w:val="auto"/>
          <w:sz w:val="32"/>
          <w:szCs w:val="32"/>
          <w:lang w:val="en-US" w:eastAsia="zh-CN"/>
        </w:rPr>
        <w:t>70</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以上</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b/>
          <w:color w:val="auto"/>
          <w:kern w:val="2"/>
          <w:sz w:val="32"/>
          <w:szCs w:val="32"/>
        </w:rPr>
        <w:t>一是巩固脱贫攻坚，衔接乡村振兴。</w:t>
      </w:r>
      <w:r>
        <w:rPr>
          <w:rFonts w:hint="eastAsia" w:ascii="仿宋_GB2312" w:hAnsi="仿宋_GB2312" w:eastAsia="仿宋_GB2312" w:cs="仿宋_GB2312"/>
          <w:bCs/>
          <w:color w:val="auto"/>
          <w:kern w:val="2"/>
          <w:sz w:val="32"/>
          <w:szCs w:val="32"/>
        </w:rPr>
        <w:t>全年共计投入财政衔接资金1.69亿元，对接项目96个，对接率100%，</w:t>
      </w:r>
      <w:r>
        <w:rPr>
          <w:rFonts w:hint="eastAsia" w:ascii="仿宋_GB2312" w:hAnsi="仿宋_GB2312" w:eastAsia="仿宋_GB2312" w:cs="仿宋_GB2312"/>
          <w:bCs/>
          <w:kern w:val="2"/>
          <w:sz w:val="32"/>
          <w:szCs w:val="32"/>
        </w:rPr>
        <w:t>巩固拓展脱贫攻坚成果同乡村振兴有效衔接工作取得明显成效。</w:t>
      </w:r>
      <w:r>
        <w:rPr>
          <w:rFonts w:hint="eastAsia" w:ascii="仿宋_GB2312" w:hAnsi="仿宋_GB2312" w:eastAsia="仿宋_GB2312" w:cs="仿宋_GB2312"/>
          <w:b/>
          <w:kern w:val="2"/>
          <w:sz w:val="32"/>
          <w:szCs w:val="32"/>
        </w:rPr>
        <w:t>二是筑牢公共卫生防线，为群众健康保驾护航</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全县卫生健康支出2.05亿元，主要用于支持基本公共卫生服务、医疗保障、基础设施建设、公立医院综合改革等。城乡居民基本医疗保险财政补助标准从640元提高到670元，推动建成覆盖全民的基本医疗保险制度。基本公共卫生服务经费人均财政补助标准由89元提高至94元，对困难群众实施医疗救助，提升医疗保障服务能力，推进重大公共卫生和地方公共卫生服务项目建设。完善乡村医疗卫生体系，实施卫生健康人才培养培训工程，推动中医药传承创新与发展。</w:t>
      </w:r>
      <w:r>
        <w:rPr>
          <w:rFonts w:hint="eastAsia" w:ascii="仿宋_GB2312" w:hAnsi="仿宋_GB2312" w:eastAsia="仿宋_GB2312" w:cs="仿宋_GB2312"/>
          <w:b/>
          <w:kern w:val="2"/>
          <w:sz w:val="32"/>
          <w:szCs w:val="32"/>
        </w:rPr>
        <w:t>三是优化资源布局，</w:t>
      </w:r>
      <w:r>
        <w:rPr>
          <w:rFonts w:hint="eastAsia" w:ascii="仿宋_GB2312" w:hAnsi="仿宋_GB2312" w:eastAsia="仿宋_GB2312" w:cs="仿宋_GB2312"/>
          <w:b/>
          <w:bCs/>
          <w:sz w:val="32"/>
          <w:szCs w:val="32"/>
        </w:rPr>
        <w:t>推动教育均衡发展。</w:t>
      </w:r>
      <w:r>
        <w:rPr>
          <w:rFonts w:hint="eastAsia" w:ascii="仿宋_GB2312" w:hAnsi="仿宋_GB2312" w:eastAsia="仿宋_GB2312" w:cs="仿宋_GB2312"/>
          <w:sz w:val="32"/>
          <w:szCs w:val="32"/>
        </w:rPr>
        <w:t>全县教育支出7.4</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亿元，重点支持了基础教育均衡发展、高职教育快速发展、完善扶困助学机制和改善中小学教师待遇，推动教育公平发展和质量提升。2024年</w:t>
      </w:r>
      <w:r>
        <w:rPr>
          <w:rFonts w:hint="eastAsia" w:ascii="仿宋_GB2312" w:hAnsi="仿宋_GB2312" w:eastAsia="仿宋_GB2312" w:cs="仿宋_GB2312"/>
          <w:color w:val="000000"/>
          <w:sz w:val="32"/>
          <w:szCs w:val="32"/>
        </w:rPr>
        <w:t>完成了天池中学餐厅、</w:t>
      </w:r>
      <w:r>
        <w:rPr>
          <w:rFonts w:hint="eastAsia" w:ascii="仿宋_GB2312" w:hAnsi="仿宋_GB2312" w:eastAsia="仿宋_GB2312" w:cs="仿宋_GB2312"/>
          <w:sz w:val="32"/>
          <w:szCs w:val="32"/>
        </w:rPr>
        <w:t>渑池职专教学楼和女生宿舍楼安装暖气、县直中学学生餐厅增加供暖设施、仁村中学餐厅和初步改造仁村中学宿舍等项目</w:t>
      </w:r>
      <w:r>
        <w:rPr>
          <w:rFonts w:hint="eastAsia" w:ascii="仿宋_GB2312" w:hAnsi="仿宋_GB2312" w:eastAsia="仿宋_GB2312" w:cs="仿宋_GB2312"/>
          <w:color w:val="000000"/>
          <w:sz w:val="32"/>
          <w:szCs w:val="32"/>
        </w:rPr>
        <w:t>新建和改扩建，并</w:t>
      </w:r>
      <w:r>
        <w:rPr>
          <w:rFonts w:hint="eastAsia" w:ascii="仿宋_GB2312" w:hAnsi="仿宋_GB2312" w:eastAsia="仿宋_GB2312" w:cs="仿宋_GB2312"/>
          <w:sz w:val="32"/>
          <w:szCs w:val="32"/>
        </w:rPr>
        <w:t>投入使用。2024年度共发放各类资助金1726.91万元，惠及贫困学生32407人次。受理生源地贫困大学生助学贷款4500人，发放贷款6042.98万元。</w:t>
      </w:r>
      <w:r>
        <w:rPr>
          <w:rFonts w:hint="eastAsia" w:ascii="仿宋_GB2312" w:hAnsi="仿宋_GB2312" w:eastAsia="仿宋_GB2312" w:cs="仿宋_GB2312"/>
          <w:b/>
          <w:sz w:val="32"/>
          <w:szCs w:val="32"/>
        </w:rPr>
        <w:t>四是</w:t>
      </w:r>
      <w:r>
        <w:rPr>
          <w:rFonts w:hint="eastAsia" w:ascii="仿宋_GB2312" w:hAnsi="仿宋_GB2312" w:eastAsia="仿宋_GB2312" w:cs="仿宋_GB2312"/>
          <w:b/>
          <w:bCs/>
          <w:sz w:val="32"/>
          <w:szCs w:val="32"/>
        </w:rPr>
        <w:t>强化社会保障，兜牢民生底线。</w:t>
      </w:r>
      <w:r>
        <w:rPr>
          <w:rFonts w:hint="eastAsia" w:ascii="仿宋_GB2312" w:hAnsi="仿宋_GB2312" w:eastAsia="仿宋_GB2312" w:cs="仿宋_GB2312"/>
          <w:sz w:val="32"/>
          <w:szCs w:val="32"/>
        </w:rPr>
        <w:t>全县社会保障和就业支出3.63亿元，主要用于财政对养老进行补助及低保、特困人员等困难群众和孤儿、残疾人等特殊群体基本生活保障及扩围增效，其中：</w:t>
      </w:r>
      <w:r>
        <w:rPr>
          <w:rFonts w:hint="eastAsia" w:ascii="仿宋_GB2312" w:hAnsi="仿宋_GB2312" w:eastAsia="仿宋_GB2312" w:cs="仿宋_GB2312"/>
          <w:kern w:val="2"/>
          <w:sz w:val="32"/>
          <w:szCs w:val="32"/>
        </w:rPr>
        <w:t>财政对机关事业单位养老保险的补助2.11亿元，城乡居民养老金</w:t>
      </w:r>
      <w:r>
        <w:rPr>
          <w:rFonts w:hint="eastAsia" w:ascii="仿宋_GB2312" w:hAnsi="仿宋_GB2312" w:eastAsia="仿宋_GB2312" w:cs="仿宋_GB2312"/>
          <w:sz w:val="32"/>
          <w:szCs w:val="32"/>
        </w:rPr>
        <w:t>7705.23</w:t>
      </w:r>
      <w:r>
        <w:rPr>
          <w:rFonts w:hint="eastAsia" w:ascii="仿宋_GB2312" w:hAnsi="仿宋_GB2312" w:eastAsia="仿宋_GB2312" w:cs="仿宋_GB2312"/>
          <w:kern w:val="2"/>
          <w:sz w:val="32"/>
          <w:szCs w:val="32"/>
        </w:rPr>
        <w:t>万元，工伤保险待遇</w:t>
      </w:r>
      <w:r>
        <w:rPr>
          <w:rFonts w:hint="eastAsia" w:ascii="仿宋_GB2312" w:hAnsi="仿宋_GB2312" w:eastAsia="仿宋_GB2312" w:cs="仿宋_GB2312"/>
          <w:sz w:val="32"/>
          <w:szCs w:val="32"/>
        </w:rPr>
        <w:t>876.78</w:t>
      </w:r>
      <w:r>
        <w:rPr>
          <w:rFonts w:hint="eastAsia" w:ascii="仿宋_GB2312" w:hAnsi="仿宋_GB2312" w:eastAsia="仿宋_GB2312" w:cs="仿宋_GB2312"/>
          <w:kern w:val="2"/>
          <w:sz w:val="32"/>
          <w:szCs w:val="32"/>
        </w:rPr>
        <w:t>万元，失业保险待遇</w:t>
      </w:r>
      <w:r>
        <w:rPr>
          <w:rFonts w:hint="eastAsia" w:ascii="仿宋_GB2312" w:hAnsi="仿宋_GB2312" w:eastAsia="仿宋_GB2312" w:cs="仿宋_GB2312"/>
          <w:sz w:val="32"/>
          <w:szCs w:val="32"/>
        </w:rPr>
        <w:t>932.72</w:t>
      </w:r>
      <w:r>
        <w:rPr>
          <w:rFonts w:hint="eastAsia" w:ascii="仿宋_GB2312" w:hAnsi="仿宋_GB2312" w:eastAsia="仿宋_GB2312" w:cs="仿宋_GB2312"/>
          <w:kern w:val="2"/>
          <w:sz w:val="32"/>
          <w:szCs w:val="32"/>
        </w:rPr>
        <w:t>万元，各项社会保险支付率均保持100%。</w:t>
      </w:r>
      <w:r>
        <w:rPr>
          <w:rFonts w:hint="eastAsia" w:ascii="仿宋_GB2312" w:hAnsi="仿宋_GB2312" w:eastAsia="仿宋_GB2312" w:cs="仿宋_GB2312"/>
          <w:sz w:val="32"/>
          <w:szCs w:val="32"/>
        </w:rPr>
        <w:t>累计为5143户8841人发放城乡低保金2898.72万元，为1109人发放城乡特困供养金1092.3万元，为7657名高龄老人发放补贴526.73万元，为2025人发放临时救助金281.96万元，为107名孤儿及事实无人抚养儿童发放生活费110.09万元。</w:t>
      </w:r>
      <w:r>
        <w:rPr>
          <w:rFonts w:hint="eastAsia" w:ascii="仿宋_GB2312" w:hAnsi="仿宋_GB2312" w:eastAsia="仿宋_GB2312" w:cs="仿宋_GB2312"/>
          <w:bCs/>
          <w:sz w:val="32"/>
          <w:szCs w:val="32"/>
        </w:rPr>
        <w:t>强化就业优先政策，健全就业促进机制，促进高质量充分就业，新增就业人数6726人，</w:t>
      </w:r>
      <w:r>
        <w:rPr>
          <w:rFonts w:hint="eastAsia" w:ascii="仿宋_GB2312" w:hAnsi="仿宋_GB2312" w:eastAsia="仿宋_GB2312" w:cs="仿宋_GB2312"/>
          <w:snapToGrid/>
          <w:kern w:val="2"/>
          <w:sz w:val="32"/>
          <w:szCs w:val="32"/>
          <w:highlight w:val="none"/>
          <w:lang w:val="en-US" w:eastAsia="zh-CN"/>
        </w:rPr>
        <w:t>农村劳动力职业技能培训</w:t>
      </w:r>
      <w:r>
        <w:rPr>
          <w:rFonts w:hint="eastAsia" w:ascii="仿宋_GB2312" w:hAnsi="仿宋_GB2312" w:eastAsia="仿宋_GB2312" w:cs="仿宋_GB2312"/>
          <w:snapToGrid/>
          <w:kern w:val="2"/>
          <w:sz w:val="32"/>
          <w:szCs w:val="32"/>
          <w:highlight w:val="none"/>
          <w:lang w:eastAsia="zh-CN"/>
        </w:rPr>
        <w:t>4593人</w:t>
      </w:r>
      <w:r>
        <w:rPr>
          <w:rFonts w:hint="eastAsia" w:ascii="仿宋_GB2312" w:hAnsi="仿宋_GB2312" w:eastAsia="仿宋_GB2312" w:cs="仿宋_GB2312"/>
          <w:sz w:val="32"/>
          <w:szCs w:val="32"/>
        </w:rPr>
        <w:t>，</w:t>
      </w:r>
      <w:r>
        <w:rPr>
          <w:rFonts w:hint="eastAsia" w:ascii="仿宋_GB2312" w:hAnsi="仿宋_GB2312" w:eastAsia="仿宋_GB2312" w:cs="仿宋_GB2312"/>
          <w:kern w:val="2"/>
          <w:sz w:val="32"/>
          <w:szCs w:val="32"/>
        </w:rPr>
        <w:t>全年发放创业担保贷款1.04亿元。</w:t>
      </w:r>
      <w:r>
        <w:rPr>
          <w:rFonts w:hint="eastAsia" w:ascii="仿宋_GB2312" w:hAnsi="仿宋_GB2312" w:eastAsia="仿宋_GB2312" w:cs="仿宋_GB2312"/>
          <w:b/>
          <w:sz w:val="32"/>
          <w:szCs w:val="32"/>
        </w:rPr>
        <w:t>五是完善基础设施，提升居民幸福指数。</w:t>
      </w:r>
      <w:r>
        <w:rPr>
          <w:rFonts w:hint="eastAsia" w:ascii="仿宋_GB2312" w:hAnsi="仿宋_GB2312" w:eastAsia="仿宋_GB2312" w:cs="仿宋_GB2312"/>
          <w:sz w:val="32"/>
          <w:szCs w:val="32"/>
        </w:rPr>
        <w:t>投入2.87亿元，新华大道全线贯通，</w:t>
      </w:r>
      <w:r>
        <w:rPr>
          <w:rFonts w:hint="eastAsia" w:ascii="仿宋_GB2312" w:hAnsi="仿宋_GB2312" w:eastAsia="仿宋_GB2312" w:cs="仿宋_GB2312"/>
          <w:color w:val="000000"/>
          <w:sz w:val="32"/>
          <w:szCs w:val="32"/>
          <w:shd w:val="clear" w:color="auto" w:fill="FFFFFF"/>
        </w:rPr>
        <w:t>文明路、金城路、韶山大道等13条道路顺利建成，</w:t>
      </w:r>
      <w:r>
        <w:rPr>
          <w:rFonts w:hint="eastAsia" w:ascii="仿宋_GB2312" w:hAnsi="仿宋_GB2312" w:eastAsia="仿宋_GB2312" w:cs="仿宋_GB2312"/>
          <w:sz w:val="32"/>
          <w:szCs w:val="32"/>
        </w:rPr>
        <w:t>城区路网结构进一步完善；</w:t>
      </w:r>
      <w:r>
        <w:rPr>
          <w:rFonts w:hint="eastAsia" w:ascii="仿宋_GB2312" w:hAnsi="仿宋_GB2312" w:eastAsia="仿宋_GB2312" w:cs="仿宋_GB2312"/>
          <w:color w:val="000000"/>
          <w:sz w:val="32"/>
          <w:szCs w:val="32"/>
          <w:shd w:val="clear" w:color="auto" w:fill="FFFFFF"/>
        </w:rPr>
        <w:t>洋河桥、崇村桥、张沟桥3座桥梁完成更新及裂缝修复；新华路、胜利北街全段及沟东河雨污水管网改造工程按时完工，主城区基本实现雨污分流全覆盖；新建物资公司、东关村2座换热站，完成一次供热管网检修24公里，新增二次供热管网2千米，新增供暖面积11.3万㎡，惠及群众984户3700余人；英张工业园区燃气专线达到通气条件；</w:t>
      </w:r>
      <w:r>
        <w:rPr>
          <w:rFonts w:hint="eastAsia" w:ascii="仿宋_GB2312" w:hAnsi="仿宋_GB2312" w:eastAsia="仿宋_GB2312" w:cs="仿宋_GB2312"/>
          <w:sz w:val="32"/>
          <w:szCs w:val="32"/>
        </w:rPr>
        <w:t>强力推进老旧小区改造项目，2024年共完成</w:t>
      </w:r>
      <w:r>
        <w:rPr>
          <w:rFonts w:hint="eastAsia" w:ascii="仿宋_GB2312" w:hAnsi="仿宋_GB2312" w:eastAsia="仿宋_GB2312" w:cs="仿宋_GB2312"/>
          <w:bCs/>
          <w:sz w:val="32"/>
          <w:szCs w:val="32"/>
        </w:rPr>
        <w:t>城关镇家属院</w:t>
      </w:r>
      <w:r>
        <w:rPr>
          <w:rFonts w:hint="eastAsia" w:ascii="仿宋_GB2312" w:hAnsi="仿宋_GB2312" w:eastAsia="仿宋_GB2312" w:cs="仿宋_GB2312"/>
          <w:sz w:val="32"/>
          <w:szCs w:val="32"/>
        </w:rPr>
        <w:t>等11个老旧小区改造。</w:t>
      </w:r>
    </w:p>
    <w:p w14:paraId="2ACD93C9">
      <w:pPr>
        <w:keepNext w:val="0"/>
        <w:keepLines w:val="0"/>
        <w:pageBreakBefore w:val="0"/>
        <w:kinsoku/>
        <w:wordWrap/>
        <w:overflowPunct/>
        <w:autoSpaceDE/>
        <w:bidi w:val="0"/>
        <w:spacing w:line="558" w:lineRule="exact"/>
        <w:ind w:firstLine="654"/>
        <w:textAlignment w:val="auto"/>
        <w:rPr>
          <w:rFonts w:ascii="仿宋_GB2312" w:hAnsi="Times New Roman" w:eastAsia="仿宋_GB2312"/>
          <w:szCs w:val="32"/>
        </w:rPr>
      </w:pPr>
      <w:r>
        <w:rPr>
          <w:rFonts w:hint="eastAsia" w:ascii="楷体_GB2312" w:hAnsi="楷体_GB2312" w:eastAsia="楷体_GB2312" w:cs="楷体_GB2312"/>
          <w:b/>
          <w:bCs/>
          <w:snapToGrid/>
          <w:spacing w:val="3"/>
          <w:kern w:val="2"/>
          <w:szCs w:val="32"/>
        </w:rPr>
        <w:t>（四）</w:t>
      </w:r>
      <w:r>
        <w:rPr>
          <w:rStyle w:val="16"/>
          <w:rFonts w:hint="eastAsia" w:ascii="楷体_GB2312" w:hAnsi="楷体_GB2312" w:eastAsia="楷体_GB2312" w:cs="楷体_GB2312"/>
          <w:szCs w:val="32"/>
          <w:shd w:val="clear" w:color="auto" w:fill="FFFFFF"/>
        </w:rPr>
        <w:t>防范债务风险，确保平稳运行。</w:t>
      </w:r>
      <w:r>
        <w:rPr>
          <w:rFonts w:hint="eastAsia" w:ascii="仿宋_GB2312" w:hAnsi="Times New Roman" w:eastAsia="仿宋_GB2312"/>
          <w:b/>
          <w:szCs w:val="32"/>
        </w:rPr>
        <w:t>一是有序化解地方债务。</w:t>
      </w:r>
      <w:r>
        <w:rPr>
          <w:rFonts w:hint="eastAsia" w:ascii="仿宋_GB2312" w:hAnsi="Times New Roman" w:eastAsia="仿宋_GB2312"/>
          <w:bCs/>
          <w:szCs w:val="32"/>
        </w:rPr>
        <w:t>制定全县地方债务风险防范化解“1+7”工作方案，进一步细化实化方案落实，切实化解地方债务风险。用足用好中央一揽子化债政策，2024年争取补充政府性基金财力债券1.05亿元、</w:t>
      </w:r>
      <w:r>
        <w:rPr>
          <w:rFonts w:hint="eastAsia" w:ascii="仿宋_GB2312" w:hAnsi="Times New Roman" w:eastAsia="仿宋_GB2312"/>
          <w:snapToGrid/>
          <w:kern w:val="2"/>
          <w:szCs w:val="32"/>
        </w:rPr>
        <w:t>置换存量隐性债务专项债券</w:t>
      </w:r>
      <w:r>
        <w:rPr>
          <w:rFonts w:hint="eastAsia" w:ascii="仿宋_GB2312" w:hAnsi="Times New Roman" w:eastAsia="仿宋_GB2312"/>
          <w:bCs/>
          <w:szCs w:val="32"/>
        </w:rPr>
        <w:t>3.9亿元，全部用于存量地方债务化解，有效缓解了地方偿债压力。2018年以来，我县连续7年完成隐性债务化解计划。2024年融资平台退出1家，完成我县融资平台压降任务，切实降低融资平台数量和债务规模。</w:t>
      </w:r>
      <w:r>
        <w:rPr>
          <w:rFonts w:hint="eastAsia" w:ascii="仿宋_GB2312" w:hAnsi="Times New Roman" w:eastAsia="仿宋_GB2312"/>
          <w:szCs w:val="32"/>
        </w:rPr>
        <w:t>严守债务风险底线，竭力保障还本付息，全年偿还到期政府债务本息4.2亿元，有效化解政府债务风险。</w:t>
      </w:r>
      <w:r>
        <w:rPr>
          <w:rFonts w:hint="eastAsia" w:ascii="仿宋_GB2312" w:hAnsi="Times New Roman" w:eastAsia="仿宋_GB2312"/>
          <w:b/>
          <w:szCs w:val="32"/>
        </w:rPr>
        <w:t>二是严控新增隐性债务。</w:t>
      </w:r>
      <w:r>
        <w:rPr>
          <w:rFonts w:hint="eastAsia" w:ascii="仿宋_GB2312" w:hAnsi="Times New Roman" w:eastAsia="仿宋_GB2312"/>
          <w:bCs/>
          <w:szCs w:val="32"/>
        </w:rPr>
        <w:t>坚决遏制新增隐性债务，</w:t>
      </w:r>
      <w:r>
        <w:rPr>
          <w:rFonts w:hint="eastAsia" w:ascii="仿宋_GB2312" w:hAnsi="Times New Roman" w:eastAsia="仿宋_GB2312"/>
          <w:szCs w:val="32"/>
        </w:rPr>
        <w:t>完善防范化解隐性债务风险长效机制，全面排查地方政府隐性债务存量，建立隐性债务问题台账，全力推进债务化解，坚决遏制新增政府隐性债务，全县债务风险总体可控。</w:t>
      </w:r>
      <w:r>
        <w:rPr>
          <w:rFonts w:hint="eastAsia" w:ascii="仿宋_GB2312" w:hAnsi="Times New Roman" w:eastAsia="仿宋_GB2312"/>
          <w:b/>
          <w:szCs w:val="32"/>
        </w:rPr>
        <w:t>三是防范“三保”风险</w:t>
      </w:r>
      <w:r>
        <w:rPr>
          <w:rFonts w:hint="eastAsia" w:ascii="仿宋_GB2312" w:hAnsi="Times New Roman" w:eastAsia="仿宋_GB2312"/>
          <w:szCs w:val="32"/>
        </w:rPr>
        <w:t>。合理调度财政资金，坚持把“三保”作为重要政治任务，列入资金调度的第一序列，建立财政库款日监测机制，突出库款变动因素分析，合理预测支出需求。加强与省、市国库的密切联系，及时了解掌握新政策、新信息、新动态，预警时及时向上级请示汇报，争取支持，增强应急保障能力。</w:t>
      </w:r>
      <w:r>
        <w:rPr>
          <w:rFonts w:hint="eastAsia" w:ascii="仿宋_GB2312" w:hAnsi="Times New Roman" w:eastAsia="仿宋_GB2312"/>
          <w:b/>
          <w:bCs/>
          <w:szCs w:val="32"/>
        </w:rPr>
        <w:t>四是成立工作专班。</w:t>
      </w:r>
      <w:r>
        <w:rPr>
          <w:rFonts w:hint="eastAsia" w:ascii="仿宋_GB2312" w:hAnsi="Times New Roman" w:eastAsia="仿宋_GB2312"/>
          <w:szCs w:val="32"/>
        </w:rPr>
        <w:t>县委和县政府针对增收节支、盘活存量资金成立了筹资和融资工作领导小组，领导小组下设综合治税、债务延期、争取上级资金、盘活存量和融资5个专班，分别由县领导牵头，相关部门抽调人员，紧密有序的开展筹融资工作。在组织收入、偿还债务和筹资融资、盘活存量方面取得较好成效，2024年盘活棚改存量住房43套2578万元。</w:t>
      </w:r>
    </w:p>
    <w:p w14:paraId="05983894">
      <w:pPr>
        <w:keepNext w:val="0"/>
        <w:keepLines w:val="0"/>
        <w:pageBreakBefore w:val="0"/>
        <w:kinsoku/>
        <w:wordWrap/>
        <w:overflowPunct/>
        <w:autoSpaceDE/>
        <w:bidi w:val="0"/>
        <w:spacing w:line="558" w:lineRule="exact"/>
        <w:ind w:firstLine="654"/>
        <w:textAlignment w:val="auto"/>
        <w:rPr>
          <w:rFonts w:ascii="仿宋_GB2312" w:hAnsi="仿宋" w:eastAsia="仿宋_GB2312" w:cs="宋体"/>
          <w:color w:val="000000"/>
          <w:spacing w:val="2"/>
          <w:szCs w:val="32"/>
        </w:rPr>
      </w:pPr>
      <w:r>
        <w:rPr>
          <w:rFonts w:hint="eastAsia" w:ascii="楷体_GB2312" w:hAnsi="楷体" w:eastAsia="楷体_GB2312"/>
          <w:b/>
          <w:bCs/>
          <w:snapToGrid/>
          <w:spacing w:val="3"/>
          <w:kern w:val="2"/>
          <w:szCs w:val="32"/>
        </w:rPr>
        <w:t>（五）发挥职能职责，提升监管能力。</w:t>
      </w:r>
      <w:r>
        <w:rPr>
          <w:rFonts w:hint="eastAsia" w:ascii="仿宋_GB2312" w:hAnsi="Times New Roman" w:eastAsia="仿宋_GB2312"/>
          <w:b/>
          <w:szCs w:val="32"/>
        </w:rPr>
        <w:t>一是加强绩效管理，强化结果运用。</w:t>
      </w:r>
      <w:r>
        <w:rPr>
          <w:rFonts w:hint="eastAsia" w:ascii="仿宋_GB2312" w:hAnsi="Times New Roman" w:eastAsia="仿宋_GB2312"/>
          <w:bCs/>
          <w:szCs w:val="32"/>
        </w:rPr>
        <w:t>坚持“花钱必问效、无效必问责”，持续强化绩效目标管理和事前绩效评估。建立全方位、全过程、全覆盖的预算绩效管理体系，推动形成“预算决策有评估、预算编制有目标、预算执行有监控、预算完成有评价、评价结果有应用”的预算绩效管理新机制。</w:t>
      </w:r>
      <w:r>
        <w:rPr>
          <w:rFonts w:hint="eastAsia" w:ascii="仿宋_GB2312" w:hAnsi="Times New Roman" w:eastAsia="仿宋_GB2312"/>
          <w:b/>
          <w:szCs w:val="32"/>
        </w:rPr>
        <w:t>二是依托一卡通系统，落实惠</w:t>
      </w:r>
      <w:r>
        <w:rPr>
          <w:rFonts w:hint="eastAsia" w:ascii="仿宋_GB2312" w:hAnsi="仿宋_GB2312" w:eastAsia="仿宋_GB2312" w:cs="仿宋_GB2312"/>
          <w:b/>
          <w:bCs/>
          <w:kern w:val="2"/>
          <w:szCs w:val="32"/>
        </w:rPr>
        <w:t>民惠农补贴</w:t>
      </w:r>
      <w:r>
        <w:rPr>
          <w:rFonts w:hint="eastAsia" w:ascii="仿宋_GB2312" w:hAnsi="仿宋_GB2312" w:eastAsia="仿宋_GB2312" w:cs="仿宋_GB2312"/>
          <w:kern w:val="2"/>
          <w:szCs w:val="32"/>
        </w:rPr>
        <w:t>。</w:t>
      </w:r>
      <w:r>
        <w:rPr>
          <w:rFonts w:hint="eastAsia" w:ascii="仿宋_GB2312" w:hAnsi="Times New Roman" w:eastAsia="仿宋_GB2312"/>
          <w:bCs/>
          <w:szCs w:val="32"/>
        </w:rPr>
        <w:t>坚持“民有所呼</w:t>
      </w:r>
      <w:r>
        <w:rPr>
          <w:rFonts w:hint="eastAsia" w:ascii="仿宋_GB2312" w:hAnsi="Times New Roman" w:eastAsia="仿宋_GB2312"/>
          <w:bCs/>
          <w:szCs w:val="32"/>
          <w:lang w:eastAsia="zh-CN"/>
        </w:rPr>
        <w:t>、</w:t>
      </w:r>
      <w:r>
        <w:rPr>
          <w:rFonts w:hint="eastAsia" w:ascii="仿宋_GB2312" w:hAnsi="Times New Roman" w:eastAsia="仿宋_GB2312"/>
          <w:bCs/>
          <w:szCs w:val="32"/>
        </w:rPr>
        <w:t>财有所应”，努力发挥财政职能作用，千方百计筹措和调度资金，着力办好惠民惠农的实事好事。2024年全年发放惠民惠农财政补贴项目49个，惠及群众计43.03万人次，补贴金额1.94亿元，成功率99.63%，社保卡发放率100%。</w:t>
      </w:r>
      <w:r>
        <w:rPr>
          <w:rFonts w:hint="eastAsia" w:ascii="仿宋_GB2312" w:hAnsi="Times New Roman" w:eastAsia="仿宋_GB2312"/>
          <w:b/>
          <w:szCs w:val="32"/>
        </w:rPr>
        <w:t>三是优化采购环境，提升服务质量</w:t>
      </w:r>
      <w:r>
        <w:rPr>
          <w:rFonts w:hint="eastAsia" w:ascii="仿宋_GB2312" w:hAnsi="仿宋" w:eastAsia="仿宋_GB2312" w:cs="宋体"/>
          <w:b/>
          <w:spacing w:val="2"/>
          <w:szCs w:val="32"/>
        </w:rPr>
        <w:t>。</w:t>
      </w:r>
      <w:r>
        <w:rPr>
          <w:rFonts w:hint="eastAsia" w:ascii="仿宋_GB2312" w:hAnsi="仿宋" w:eastAsia="仿宋_GB2312"/>
          <w:szCs w:val="32"/>
        </w:rPr>
        <w:t>贯彻落实</w:t>
      </w:r>
      <w:r>
        <w:rPr>
          <w:rFonts w:hint="eastAsia" w:ascii="仿宋_GB2312" w:hAnsi="仿宋" w:eastAsia="仿宋_GB2312"/>
          <w:bCs/>
          <w:szCs w:val="32"/>
        </w:rPr>
        <w:t>县委优化营商环境工作部署，</w:t>
      </w:r>
      <w:r>
        <w:rPr>
          <w:rFonts w:hint="eastAsia" w:ascii="仿宋_GB2312" w:hAnsi="仿宋" w:eastAsia="仿宋_GB2312"/>
          <w:szCs w:val="32"/>
        </w:rPr>
        <w:t>全面推动政府采购流程再优化、效率再提高、服务再提升，</w:t>
      </w:r>
      <w:r>
        <w:rPr>
          <w:rFonts w:hint="eastAsia" w:ascii="仿宋_GB2312" w:hAnsi="仿宋" w:eastAsia="仿宋_GB2312" w:cs="宋体"/>
          <w:color w:val="000000"/>
          <w:spacing w:val="2"/>
          <w:szCs w:val="32"/>
        </w:rPr>
        <w:t>全年完成采购项目276个，采购预算资金11.16亿元，实际采购</w:t>
      </w:r>
      <w:r>
        <w:rPr>
          <w:rFonts w:hint="eastAsia" w:ascii="仿宋_GB2312" w:hAnsi="仿宋" w:eastAsia="仿宋_GB2312" w:cs="宋体"/>
          <w:color w:val="000000"/>
          <w:spacing w:val="2"/>
          <w:szCs w:val="32"/>
          <w:lang w:val="en-US" w:eastAsia="zh-CN"/>
        </w:rPr>
        <w:t>金</w:t>
      </w:r>
      <w:r>
        <w:rPr>
          <w:rFonts w:hint="eastAsia" w:ascii="仿宋_GB2312" w:hAnsi="仿宋" w:eastAsia="仿宋_GB2312" w:cs="宋体"/>
          <w:color w:val="000000"/>
          <w:spacing w:val="2"/>
          <w:szCs w:val="32"/>
        </w:rPr>
        <w:t>金额10.59亿元，节约资金5706万元，资金节约率5.1%，其中公开招标8.05亿元，占比76%。</w:t>
      </w:r>
    </w:p>
    <w:p w14:paraId="4856E2E9">
      <w:pPr>
        <w:keepNext w:val="0"/>
        <w:keepLines w:val="0"/>
        <w:pageBreakBefore w:val="0"/>
        <w:suppressAutoHyphens/>
        <w:kinsoku/>
        <w:wordWrap/>
        <w:overflowPunct/>
        <w:autoSpaceDE/>
        <w:autoSpaceDN w:val="0"/>
        <w:bidi w:val="0"/>
        <w:adjustRightInd/>
        <w:snapToGrid/>
        <w:spacing w:line="558" w:lineRule="exact"/>
        <w:ind w:firstLine="640"/>
        <w:textAlignment w:val="auto"/>
        <w:rPr>
          <w:rFonts w:ascii="仿宋_GB2312" w:hAnsi="Times New Roman" w:eastAsia="仿宋_GB2312"/>
          <w:snapToGrid/>
          <w:kern w:val="2"/>
          <w:szCs w:val="32"/>
        </w:rPr>
      </w:pPr>
      <w:r>
        <w:rPr>
          <w:rFonts w:hint="eastAsia" w:ascii="仿宋_GB2312" w:hAnsi="Times New Roman" w:eastAsia="仿宋_GB2312"/>
          <w:snapToGrid/>
          <w:kern w:val="2"/>
          <w:szCs w:val="32"/>
        </w:rPr>
        <w:t>回顾过去的一年，</w:t>
      </w:r>
      <w:r>
        <w:rPr>
          <w:rFonts w:hint="eastAsia" w:ascii="仿宋_GB2312" w:eastAsia="仿宋_GB2312"/>
          <w:szCs w:val="32"/>
        </w:rPr>
        <w:t>是全县财政工作异常艰难的一年，面对复杂的形势、多重的压力，我们难中求进，较好的保障了全县经济社会持续健康发展，</w:t>
      </w:r>
      <w:r>
        <w:rPr>
          <w:rFonts w:hint="eastAsia" w:ascii="仿宋_GB2312" w:hAnsi="Times New Roman" w:eastAsia="仿宋_GB2312"/>
          <w:szCs w:val="32"/>
        </w:rPr>
        <w:t>为全县统筹发展和安全提供了有力保障，</w:t>
      </w:r>
      <w:r>
        <w:rPr>
          <w:rFonts w:hint="eastAsia" w:ascii="仿宋_GB2312" w:hAnsi="Times New Roman" w:eastAsia="仿宋_GB2312"/>
          <w:snapToGrid/>
          <w:kern w:val="2"/>
          <w:szCs w:val="32"/>
        </w:rPr>
        <w:t>这是县委坚强领导的结果，是全县上下团结拼搏、共同努力的结果，也是人大代表、政协委员监督指导、大力支持的结果。</w:t>
      </w:r>
    </w:p>
    <w:p w14:paraId="6C687CFA">
      <w:pPr>
        <w:keepNext w:val="0"/>
        <w:keepLines w:val="0"/>
        <w:pageBreakBefore w:val="0"/>
        <w:kinsoku/>
        <w:wordWrap/>
        <w:overflowPunct/>
        <w:autoSpaceDE/>
        <w:bidi w:val="0"/>
        <w:spacing w:line="558" w:lineRule="exact"/>
        <w:ind w:firstLine="640"/>
        <w:textAlignment w:val="auto"/>
        <w:rPr>
          <w:rFonts w:ascii="仿宋_GB2312" w:hAnsi="仿宋" w:eastAsia="仿宋_GB2312"/>
          <w:szCs w:val="32"/>
        </w:rPr>
      </w:pPr>
      <w:r>
        <w:rPr>
          <w:rFonts w:hint="eastAsia" w:ascii="仿宋_GB2312" w:hAnsi="Times New Roman" w:eastAsia="仿宋_GB2312"/>
          <w:szCs w:val="32"/>
        </w:rPr>
        <w:t>同时，我们清醒地看到，当前财政运行和预算管理工作还面临一些困难和问题。</w:t>
      </w:r>
      <w:r>
        <w:rPr>
          <w:rFonts w:hint="eastAsia" w:ascii="仿宋_GB2312" w:hAnsi="Times New Roman" w:eastAsia="仿宋_GB2312"/>
          <w:b/>
          <w:bCs/>
          <w:szCs w:val="32"/>
        </w:rPr>
        <w:t>一是</w:t>
      </w:r>
      <w:r>
        <w:rPr>
          <w:rFonts w:hint="eastAsia" w:ascii="仿宋_GB2312" w:hAnsi="Times New Roman" w:eastAsia="仿宋_GB2312"/>
          <w:szCs w:val="32"/>
        </w:rPr>
        <w:t>财政收支总量逐年下降，遇到的困难前所未有。一般公共预算收入从2019年的28.9亿元降至2024年的23.1亿元,年均降低4%。</w:t>
      </w:r>
      <w:r>
        <w:rPr>
          <w:rFonts w:hint="eastAsia" w:ascii="仿宋_GB2312" w:hAnsi="Times New Roman" w:eastAsia="仿宋_GB2312"/>
          <w:b/>
          <w:bCs/>
          <w:szCs w:val="32"/>
        </w:rPr>
        <w:t>二是</w:t>
      </w:r>
      <w:r>
        <w:rPr>
          <w:rFonts w:hint="eastAsia" w:ascii="仿宋_GB2312" w:hAnsi="Times New Roman" w:eastAsia="仿宋_GB2312"/>
          <w:szCs w:val="32"/>
        </w:rPr>
        <w:t>房地产市场持续低迷，土地出让收入从2019年4.8亿元下降到2024年1.9亿元，减少60%，呈现断崖式下跌。此外，受经济下行、需求不足等因素影响，部分税基税源增长乏力，财政持续增收面临较大困难。</w:t>
      </w:r>
      <w:r>
        <w:rPr>
          <w:rFonts w:hint="eastAsia" w:ascii="仿宋_GB2312" w:hAnsi="仿宋" w:eastAsia="仿宋_GB2312"/>
          <w:szCs w:val="32"/>
        </w:rPr>
        <w:t>对此，我们将高度重视，认真研究，积极采取有效措施努力解决。</w:t>
      </w:r>
    </w:p>
    <w:p w14:paraId="709820D5">
      <w:pPr>
        <w:keepNext w:val="0"/>
        <w:keepLines w:val="0"/>
        <w:pageBreakBefore w:val="0"/>
        <w:kinsoku/>
        <w:wordWrap/>
        <w:overflowPunct/>
        <w:topLinePunct/>
        <w:autoSpaceDE/>
        <w:bidi w:val="0"/>
        <w:adjustRightInd/>
        <w:snapToGrid/>
        <w:spacing w:line="558" w:lineRule="exact"/>
        <w:ind w:firstLine="652"/>
        <w:textAlignment w:val="auto"/>
        <w:rPr>
          <w:rFonts w:ascii="黑体" w:hAnsi="黑体" w:eastAsia="黑体"/>
          <w:snapToGrid/>
          <w:spacing w:val="3"/>
          <w:kern w:val="2"/>
          <w:szCs w:val="32"/>
        </w:rPr>
      </w:pPr>
      <w:r>
        <w:rPr>
          <w:rFonts w:hint="eastAsia" w:ascii="黑体" w:hAnsi="黑体" w:eastAsia="黑体"/>
          <w:snapToGrid/>
          <w:spacing w:val="3"/>
          <w:kern w:val="2"/>
          <w:szCs w:val="32"/>
        </w:rPr>
        <w:t>三、2025年财政预算（草案）情况</w:t>
      </w:r>
    </w:p>
    <w:p w14:paraId="0BDFB79B">
      <w:pPr>
        <w:pStyle w:val="31"/>
        <w:keepNext w:val="0"/>
        <w:keepLines w:val="0"/>
        <w:pageBreakBefore w:val="0"/>
        <w:widowControl w:val="0"/>
        <w:kinsoku/>
        <w:wordWrap/>
        <w:overflowPunct/>
        <w:autoSpaceDE/>
        <w:bidi w:val="0"/>
        <w:spacing w:line="558"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2025年是“十四五”规划的收官之年，也是为实现“十五五”良好开局打牢基础的关键之年。科学研判财政收支形势，合理编制财政预算，对于推动更加积极的财政政策落实落地，促进全县经济健康平稳运行具有十分重要的意义。</w:t>
      </w:r>
      <w:r>
        <w:rPr>
          <w:rFonts w:hint="eastAsia" w:ascii="仿宋_GB2312" w:hAnsi="仿宋_GB2312" w:eastAsia="仿宋_GB2312" w:cs="仿宋_GB2312"/>
          <w:b/>
          <w:bCs/>
          <w:sz w:val="32"/>
          <w:szCs w:val="32"/>
        </w:rPr>
        <w:t>从不利形势看，</w:t>
      </w:r>
      <w:r>
        <w:rPr>
          <w:rFonts w:hint="eastAsia" w:ascii="仿宋_GB2312" w:hAnsi="仿宋_GB2312" w:eastAsia="仿宋_GB2312" w:cs="仿宋_GB2312"/>
          <w:sz w:val="32"/>
          <w:szCs w:val="32"/>
        </w:rPr>
        <w:t>内外部环境复杂对我县经济稳定恢复、长期向好形成巨大压力，增加了财政收入的不确定性。经济内生动力尚不强，市场需求仍显不足，一些市场主体经营困难，经济恢复向好的基础仍不牢固，财政收入增长面临挑战。国有土地使用权出让收入、房地产相关税收收入预计有所反弹，但是难以实现高速增长。非税收入挖潜空间收窄，持续增收压力较大。</w:t>
      </w:r>
      <w:r>
        <w:rPr>
          <w:rFonts w:hint="eastAsia" w:ascii="仿宋_GB2312" w:hAnsi="仿宋_GB2312" w:eastAsia="仿宋_GB2312" w:cs="仿宋_GB2312"/>
          <w:b/>
          <w:bCs/>
          <w:sz w:val="32"/>
          <w:szCs w:val="32"/>
        </w:rPr>
        <w:t>从有利形势分析，</w:t>
      </w:r>
      <w:r>
        <w:rPr>
          <w:rFonts w:hint="eastAsia" w:ascii="仿宋_GB2312" w:hAnsi="仿宋_GB2312" w:eastAsia="仿宋_GB2312" w:cs="仿宋_GB2312"/>
          <w:sz w:val="32"/>
          <w:szCs w:val="32"/>
        </w:rPr>
        <w:t>国家继续实施存量债务置换工作，减轻了地方财政还债压力；氧化铝价格止跌回升，扭转了税收多年下滑的局面，正在稳步提高；矿山治理大规模投资已接近尾声，资金落实的项目才能开工建设，财政支出压力有所缓解；三大专业招商成效显著，新产业、新业态和新模式不断涌现，势必带动纳税主体和税源数量不断增加，一批重大项目的落地和投产，都为我县经济发展注入新活力。综合分析各方面因素，2025年全县一般公共预算收入增长预期目标为5%。这一目标是指导性的，也是比较积极、符合实际的，各乡镇要根据本地经济社会发展实际、实事求是确定收入目标。</w:t>
      </w:r>
    </w:p>
    <w:p w14:paraId="7F3F8FA1">
      <w:pPr>
        <w:keepNext w:val="0"/>
        <w:keepLines w:val="0"/>
        <w:pageBreakBefore w:val="0"/>
        <w:kinsoku/>
        <w:wordWrap/>
        <w:overflowPunct/>
        <w:autoSpaceDE/>
        <w:bidi w:val="0"/>
        <w:spacing w:line="558" w:lineRule="exact"/>
        <w:ind w:firstLine="640"/>
        <w:textAlignment w:val="auto"/>
        <w:rPr>
          <w:rFonts w:ascii="黑体" w:hAnsi="Times New Roman" w:eastAsia="黑体"/>
          <w:snapToGrid/>
          <w:color w:val="FF0000"/>
          <w:kern w:val="2"/>
          <w:szCs w:val="32"/>
        </w:rPr>
      </w:pPr>
      <w:r>
        <w:rPr>
          <w:rFonts w:hint="eastAsia" w:ascii="仿宋_GB2312" w:hAnsi="Times New Roman" w:eastAsia="仿宋_GB2312"/>
          <w:snapToGrid/>
          <w:kern w:val="2"/>
          <w:szCs w:val="32"/>
        </w:rPr>
        <w:t>2025年财政预算编制指导思想是：</w:t>
      </w:r>
      <w:r>
        <w:rPr>
          <w:rFonts w:hint="eastAsia" w:ascii="黑体" w:hAnsi="Times New Roman" w:eastAsia="黑体"/>
          <w:snapToGrid/>
          <w:kern w:val="2"/>
          <w:szCs w:val="32"/>
        </w:rPr>
        <w:t>以习近平新时代中国特色社会主义思想为指导，全面贯彻党的二十大和二十届二中、三中全会及中央经济工作会议精神，全面落实省委十一届八次全会暨省委经济工作会议、市委八届八次全会暨市委经济工作会议部署要求，坚持稳中求进工作总基调，完整准确全面贯彻新发展理念，紧抓构建新发展格局战略机遇，扎实推动县域经济高质量发展，推动科技创新和产业创新融合发展，更好统筹发展和安全，实施更加积极的财政政策，坚持“紧日子保基本、调结构保战略”，加强财政资源和预算统筹，加大财政支出强度，优化财政支出结构，提高资金使用效益，兜牢基层“三保”底线，狠抓地方政府债务管理，保持社会和谐稳定，推动经济持续回升向好，推动高质量完成“十四五”规划目标任务、为实现“十五五”良好开局打牢基础，开创中国式现代化建设渑池实践新篇章。</w:t>
      </w:r>
    </w:p>
    <w:p w14:paraId="3A48F4D2">
      <w:pPr>
        <w:keepNext w:val="0"/>
        <w:keepLines w:val="0"/>
        <w:pageBreakBefore w:val="0"/>
        <w:kinsoku/>
        <w:wordWrap/>
        <w:overflowPunct/>
        <w:autoSpaceDE/>
        <w:bidi w:val="0"/>
        <w:spacing w:line="558" w:lineRule="exact"/>
        <w:ind w:firstLine="652"/>
        <w:textAlignment w:val="auto"/>
        <w:rPr>
          <w:rFonts w:ascii="仿宋_GB2312" w:hAnsi="Times New Roman" w:eastAsia="仿宋_GB2312"/>
          <w:snapToGrid/>
          <w:spacing w:val="3"/>
          <w:szCs w:val="32"/>
        </w:rPr>
      </w:pPr>
      <w:r>
        <w:rPr>
          <w:rFonts w:hint="eastAsia" w:ascii="仿宋_GB2312" w:hAnsi="Times New Roman" w:eastAsia="仿宋_GB2312"/>
          <w:snapToGrid/>
          <w:spacing w:val="3"/>
          <w:szCs w:val="32"/>
        </w:rPr>
        <w:t>综合考虑主要经济预期目标和各项收支增减因素，本着积极稳妥、统筹兼顾、收支平衡的原则，编制2025年预算。</w:t>
      </w:r>
    </w:p>
    <w:p w14:paraId="19D82507">
      <w:pPr>
        <w:keepNext w:val="0"/>
        <w:keepLines w:val="0"/>
        <w:pageBreakBefore w:val="0"/>
        <w:kinsoku/>
        <w:wordWrap/>
        <w:overflowPunct/>
        <w:autoSpaceDE/>
        <w:bidi w:val="0"/>
        <w:spacing w:line="558" w:lineRule="exact"/>
        <w:ind w:firstLine="654"/>
        <w:textAlignment w:val="auto"/>
        <w:rPr>
          <w:rFonts w:ascii="仿宋_GB2312" w:hAnsi="Times New Roman" w:eastAsia="仿宋_GB2312"/>
          <w:snapToGrid/>
          <w:spacing w:val="3"/>
          <w:szCs w:val="32"/>
        </w:rPr>
      </w:pPr>
      <w:r>
        <w:rPr>
          <w:rFonts w:hint="eastAsia" w:ascii="仿宋_GB2312" w:hAnsi="Times New Roman" w:eastAsia="仿宋_GB2312"/>
          <w:b/>
          <w:snapToGrid/>
          <w:spacing w:val="3"/>
          <w:szCs w:val="32"/>
        </w:rPr>
        <w:t>收入预算编制原则：</w:t>
      </w:r>
      <w:r>
        <w:rPr>
          <w:rFonts w:hint="eastAsia" w:ascii="仿宋_GB2312" w:hAnsi="Times New Roman" w:eastAsia="仿宋_GB2312"/>
          <w:snapToGrid/>
          <w:spacing w:val="3"/>
          <w:szCs w:val="32"/>
        </w:rPr>
        <w:t>收入预算的编制采取实事求是、科学预测的原则，立足实际，结合经济社会发展水平，科学安排税收收入；规范行政事业性收费、罚没收入和国有资产有偿使用管理，合理确定各项非税收入。</w:t>
      </w:r>
    </w:p>
    <w:p w14:paraId="75F37412">
      <w:pPr>
        <w:keepNext w:val="0"/>
        <w:keepLines w:val="0"/>
        <w:pageBreakBefore w:val="0"/>
        <w:kinsoku/>
        <w:wordWrap/>
        <w:overflowPunct/>
        <w:autoSpaceDE/>
        <w:bidi w:val="0"/>
        <w:spacing w:line="558" w:lineRule="exact"/>
        <w:ind w:firstLine="654"/>
        <w:textAlignment w:val="auto"/>
        <w:rPr>
          <w:rFonts w:ascii="仿宋_GB2312" w:hAnsi="Times New Roman" w:eastAsia="仿宋_GB2312"/>
          <w:snapToGrid/>
          <w:spacing w:val="3"/>
          <w:szCs w:val="32"/>
        </w:rPr>
      </w:pPr>
      <w:r>
        <w:rPr>
          <w:rFonts w:hint="eastAsia" w:ascii="仿宋_GB2312" w:hAnsi="Times New Roman" w:eastAsia="仿宋_GB2312"/>
          <w:b/>
          <w:snapToGrid/>
          <w:spacing w:val="3"/>
          <w:szCs w:val="32"/>
        </w:rPr>
        <w:t>支出预算编制原则：</w:t>
      </w:r>
      <w:r>
        <w:rPr>
          <w:rFonts w:hint="eastAsia" w:ascii="仿宋_GB2312" w:hAnsi="仿宋_GB2312" w:eastAsia="仿宋_GB2312" w:cs="仿宋_GB2312"/>
          <w:b/>
          <w:snapToGrid/>
          <w:spacing w:val="3"/>
          <w:szCs w:val="32"/>
        </w:rPr>
        <w:t>一是</w:t>
      </w:r>
      <w:r>
        <w:rPr>
          <w:rFonts w:hint="eastAsia" w:ascii="仿宋_GB2312" w:hAnsi="仿宋_GB2312" w:eastAsia="仿宋_GB2312" w:cs="仿宋_GB2312"/>
          <w:bCs/>
          <w:snapToGrid/>
          <w:spacing w:val="3"/>
          <w:szCs w:val="32"/>
        </w:rPr>
        <w:t>集中财力，保障重点。</w:t>
      </w:r>
      <w:r>
        <w:rPr>
          <w:rFonts w:hint="eastAsia" w:ascii="仿宋_GB2312" w:hAnsi="仿宋_GB2312" w:eastAsia="仿宋_GB2312" w:cs="仿宋_GB2312"/>
          <w:snapToGrid/>
          <w:spacing w:val="3"/>
          <w:szCs w:val="32"/>
        </w:rPr>
        <w:t>牢固树立过“紧日子”的思想，严格控制一般性项目支出，统筹各项资金来源，着力优化结构，切实兜牢“三保”底线，集中财力保障县委、县政府确定的重点支出。</w:t>
      </w:r>
      <w:r>
        <w:rPr>
          <w:rFonts w:hint="eastAsia" w:ascii="仿宋_GB2312" w:hAnsi="仿宋_GB2312" w:eastAsia="仿宋_GB2312" w:cs="仿宋_GB2312"/>
          <w:b/>
          <w:snapToGrid/>
          <w:spacing w:val="3"/>
          <w:szCs w:val="32"/>
        </w:rPr>
        <w:t>二是</w:t>
      </w:r>
      <w:r>
        <w:rPr>
          <w:rFonts w:hint="eastAsia" w:ascii="仿宋_GB2312" w:hAnsi="仿宋_GB2312" w:eastAsia="仿宋_GB2312" w:cs="仿宋_GB2312"/>
          <w:bCs/>
          <w:snapToGrid/>
          <w:spacing w:val="3"/>
          <w:szCs w:val="32"/>
        </w:rPr>
        <w:t>依法理财，强化约束。</w:t>
      </w:r>
      <w:r>
        <w:rPr>
          <w:rFonts w:hint="eastAsia" w:ascii="仿宋_GB2312" w:hAnsi="仿宋_GB2312" w:eastAsia="仿宋_GB2312" w:cs="仿宋_GB2312"/>
          <w:snapToGrid/>
          <w:spacing w:val="3"/>
          <w:szCs w:val="32"/>
        </w:rPr>
        <w:t>牢固树立法治观念，严格按照《预算法》及《预算法实施条例》的规定编制预算，强化预算约束，严控预算调整和调剂，推进建立约束有力的预算制度。</w:t>
      </w:r>
      <w:r>
        <w:rPr>
          <w:rFonts w:hint="eastAsia" w:ascii="仿宋_GB2312" w:hAnsi="仿宋_GB2312" w:eastAsia="仿宋_GB2312" w:cs="仿宋_GB2312"/>
          <w:b/>
          <w:snapToGrid/>
          <w:spacing w:val="3"/>
          <w:szCs w:val="32"/>
        </w:rPr>
        <w:t>三是</w:t>
      </w:r>
      <w:r>
        <w:rPr>
          <w:rFonts w:hint="eastAsia" w:ascii="仿宋_GB2312" w:hAnsi="仿宋_GB2312" w:eastAsia="仿宋_GB2312" w:cs="仿宋_GB2312"/>
          <w:bCs/>
          <w:snapToGrid/>
          <w:spacing w:val="3"/>
          <w:szCs w:val="32"/>
        </w:rPr>
        <w:t>强化绩效，提高效益。</w:t>
      </w:r>
      <w:r>
        <w:rPr>
          <w:rFonts w:hint="eastAsia" w:ascii="仿宋_GB2312" w:hAnsi="仿宋_GB2312" w:eastAsia="仿宋_GB2312" w:cs="仿宋_GB2312"/>
          <w:snapToGrid/>
          <w:spacing w:val="3"/>
          <w:szCs w:val="32"/>
        </w:rPr>
        <w:t>加快构建全方位、全过程、全覆盖预算绩效管理体系，完善全过程预算绩效管理机制，推动预算与绩效有机融合。</w:t>
      </w:r>
      <w:r>
        <w:rPr>
          <w:rFonts w:hint="eastAsia" w:ascii="仿宋_GB2312" w:hAnsi="仿宋_GB2312" w:eastAsia="仿宋_GB2312" w:cs="仿宋_GB2312"/>
          <w:b/>
          <w:snapToGrid/>
          <w:spacing w:val="3"/>
          <w:szCs w:val="32"/>
        </w:rPr>
        <w:t>四是</w:t>
      </w:r>
      <w:r>
        <w:rPr>
          <w:rFonts w:hint="eastAsia" w:ascii="仿宋_GB2312" w:hAnsi="仿宋_GB2312" w:eastAsia="仿宋_GB2312" w:cs="仿宋_GB2312"/>
          <w:bCs/>
          <w:snapToGrid/>
          <w:spacing w:val="3"/>
          <w:szCs w:val="32"/>
        </w:rPr>
        <w:t>尽力而为，量力而行。</w:t>
      </w:r>
      <w:r>
        <w:rPr>
          <w:rFonts w:hint="eastAsia" w:ascii="仿宋_GB2312" w:hAnsi="仿宋_GB2312" w:eastAsia="仿宋_GB2312" w:cs="仿宋_GB2312"/>
          <w:snapToGrid/>
          <w:spacing w:val="3"/>
          <w:szCs w:val="32"/>
        </w:rPr>
        <w:t>支出预算坚持量入为出，运用零基预算理念，根据实际发展需要和财力可能科学核定，打破基数概念和预算支出固化僵化格局，做好收支平衡。</w:t>
      </w:r>
    </w:p>
    <w:p w14:paraId="69ED5CEF">
      <w:pPr>
        <w:keepNext w:val="0"/>
        <w:keepLines w:val="0"/>
        <w:pageBreakBefore w:val="0"/>
        <w:kinsoku/>
        <w:wordWrap/>
        <w:overflowPunct/>
        <w:autoSpaceDE/>
        <w:bidi w:val="0"/>
        <w:spacing w:line="558" w:lineRule="exact"/>
        <w:ind w:firstLine="654"/>
        <w:textAlignment w:val="auto"/>
        <w:rPr>
          <w:rFonts w:ascii="楷体_GB2312" w:hAnsi="楷体" w:eastAsia="楷体_GB2312"/>
          <w:b/>
          <w:bCs/>
          <w:snapToGrid/>
          <w:spacing w:val="3"/>
          <w:kern w:val="2"/>
          <w:szCs w:val="32"/>
        </w:rPr>
      </w:pPr>
      <w:r>
        <w:rPr>
          <w:rFonts w:hint="eastAsia" w:ascii="楷体_GB2312" w:hAnsi="楷体" w:eastAsia="楷体_GB2312"/>
          <w:b/>
          <w:bCs/>
          <w:snapToGrid/>
          <w:spacing w:val="3"/>
          <w:kern w:val="2"/>
          <w:szCs w:val="32"/>
        </w:rPr>
        <w:t>（一）2025年收支预算安排情况</w:t>
      </w:r>
    </w:p>
    <w:p w14:paraId="6EC2BF74">
      <w:pPr>
        <w:keepNext w:val="0"/>
        <w:keepLines w:val="0"/>
        <w:pageBreakBefore w:val="0"/>
        <w:kinsoku/>
        <w:wordWrap/>
        <w:overflowPunct/>
        <w:autoSpaceDE/>
        <w:bidi w:val="0"/>
        <w:spacing w:line="558" w:lineRule="exact"/>
        <w:ind w:firstLine="654"/>
        <w:textAlignment w:val="auto"/>
        <w:rPr>
          <w:rFonts w:ascii="仿宋_GB2312" w:hAnsi="Times New Roman" w:eastAsia="仿宋_GB2312"/>
          <w:b/>
          <w:bCs/>
          <w:snapToGrid/>
          <w:spacing w:val="3"/>
          <w:kern w:val="2"/>
          <w:szCs w:val="32"/>
        </w:rPr>
      </w:pPr>
      <w:r>
        <w:rPr>
          <w:rFonts w:hint="eastAsia" w:ascii="仿宋_GB2312" w:hAnsi="Times New Roman" w:eastAsia="仿宋_GB2312"/>
          <w:b/>
          <w:bCs/>
          <w:snapToGrid/>
          <w:spacing w:val="3"/>
          <w:kern w:val="2"/>
          <w:szCs w:val="32"/>
        </w:rPr>
        <w:t>1、一般公共预算</w:t>
      </w:r>
    </w:p>
    <w:p w14:paraId="73DC709C">
      <w:pPr>
        <w:keepNext w:val="0"/>
        <w:keepLines w:val="0"/>
        <w:pageBreakBefore w:val="0"/>
        <w:kinsoku/>
        <w:wordWrap/>
        <w:overflowPunct/>
        <w:autoSpaceDE/>
        <w:bidi w:val="0"/>
        <w:spacing w:line="558" w:lineRule="exact"/>
        <w:ind w:firstLine="652"/>
        <w:textAlignment w:val="auto"/>
        <w:rPr>
          <w:rFonts w:ascii="仿宋_GB2312" w:hAnsi="Times New Roman" w:eastAsia="仿宋_GB2312"/>
          <w:snapToGrid/>
          <w:spacing w:val="3"/>
          <w:szCs w:val="32"/>
        </w:rPr>
      </w:pPr>
      <w:r>
        <w:rPr>
          <w:rFonts w:hint="eastAsia" w:ascii="仿宋_GB2312" w:hAnsi="Times New Roman" w:eastAsia="仿宋_GB2312"/>
          <w:snapToGrid/>
          <w:spacing w:val="3"/>
          <w:szCs w:val="32"/>
        </w:rPr>
        <w:t>2025年全县一般公共预算收入24.26亿元（其中：税收收入16.89 亿元，非税收入7.37亿元），加上年结余9288万元，转移支付收入10.76亿元，调入资金53万元，当年收入总计35.95亿元。按照以收定支的原则，2025年安排一般公共预算支出31.95亿元，加上解上级支出4亿元，当年支出总计35.95亿元。</w:t>
      </w:r>
    </w:p>
    <w:p w14:paraId="458F317A">
      <w:pPr>
        <w:keepNext w:val="0"/>
        <w:keepLines w:val="0"/>
        <w:pageBreakBefore w:val="0"/>
        <w:kinsoku/>
        <w:wordWrap/>
        <w:overflowPunct/>
        <w:autoSpaceDE/>
        <w:bidi w:val="0"/>
        <w:spacing w:line="558" w:lineRule="exact"/>
        <w:ind w:firstLine="654"/>
        <w:textAlignment w:val="auto"/>
        <w:rPr>
          <w:rFonts w:ascii="仿宋_GB2312" w:hAnsi="Times New Roman" w:eastAsia="仿宋_GB2312"/>
          <w:snapToGrid/>
          <w:spacing w:val="3"/>
          <w:szCs w:val="32"/>
        </w:rPr>
      </w:pPr>
      <w:r>
        <w:rPr>
          <w:rFonts w:hint="eastAsia" w:ascii="仿宋_GB2312" w:hAnsi="Times New Roman" w:eastAsia="仿宋_GB2312"/>
          <w:b/>
          <w:snapToGrid/>
          <w:spacing w:val="3"/>
          <w:szCs w:val="32"/>
        </w:rPr>
        <w:t xml:space="preserve">县本级收支预算情况: </w:t>
      </w:r>
      <w:r>
        <w:rPr>
          <w:rFonts w:hint="eastAsia" w:ascii="仿宋_GB2312" w:hAnsi="Times New Roman" w:eastAsia="仿宋_GB2312"/>
          <w:snapToGrid/>
          <w:spacing w:val="3"/>
          <w:szCs w:val="32"/>
        </w:rPr>
        <w:t>2025年，县本级一般公共预算收入17.71亿元。主要项目为：税收收入10.93亿元，非税收入完成6.78亿元。支出预算为27.67亿元。</w:t>
      </w:r>
    </w:p>
    <w:p w14:paraId="02A23498">
      <w:pPr>
        <w:keepNext w:val="0"/>
        <w:keepLines w:val="0"/>
        <w:pageBreakBefore w:val="0"/>
        <w:kinsoku/>
        <w:wordWrap/>
        <w:overflowPunct/>
        <w:autoSpaceDE/>
        <w:bidi w:val="0"/>
        <w:spacing w:line="558" w:lineRule="exact"/>
        <w:ind w:firstLine="654"/>
        <w:textAlignment w:val="auto"/>
        <w:rPr>
          <w:rFonts w:ascii="仿宋_GB2312" w:hAnsi="Times New Roman" w:eastAsia="仿宋_GB2312"/>
          <w:b/>
          <w:snapToGrid/>
          <w:spacing w:val="3"/>
          <w:szCs w:val="32"/>
        </w:rPr>
      </w:pPr>
      <w:r>
        <w:rPr>
          <w:rFonts w:hint="eastAsia" w:ascii="仿宋_GB2312" w:hAnsi="Times New Roman" w:eastAsia="仿宋_GB2312"/>
          <w:b/>
          <w:snapToGrid/>
          <w:spacing w:val="3"/>
          <w:szCs w:val="32"/>
        </w:rPr>
        <w:t>2、政府性基金预算</w:t>
      </w:r>
    </w:p>
    <w:p w14:paraId="2FD71FBD">
      <w:pPr>
        <w:keepNext w:val="0"/>
        <w:keepLines w:val="0"/>
        <w:pageBreakBefore w:val="0"/>
        <w:kinsoku/>
        <w:wordWrap/>
        <w:overflowPunct/>
        <w:autoSpaceDE/>
        <w:bidi w:val="0"/>
        <w:spacing w:line="558" w:lineRule="exact"/>
        <w:ind w:firstLine="652"/>
        <w:textAlignment w:val="auto"/>
        <w:rPr>
          <w:rFonts w:ascii="仿宋_GB2312" w:hAnsi="Times New Roman" w:eastAsia="仿宋_GB2312"/>
          <w:snapToGrid/>
          <w:spacing w:val="3"/>
          <w:szCs w:val="32"/>
        </w:rPr>
      </w:pPr>
      <w:r>
        <w:rPr>
          <w:rFonts w:hint="eastAsia" w:ascii="仿宋_GB2312" w:hAnsi="Times New Roman" w:eastAsia="仿宋_GB2312"/>
          <w:snapToGrid/>
          <w:spacing w:val="3"/>
          <w:szCs w:val="32"/>
        </w:rPr>
        <w:t>2025年政府性基金预算收入4.72亿元，加上年结余1.34亿元，上级提前告知补助收入1713万元，当年收入总计6.24亿元。按照以收定支的原则，2025年安排政府性基金预算支出6.23亿元，加上解上级支出86万元，当年支出总计6.24亿元。政府性基金预算均为县本级预算。</w:t>
      </w:r>
    </w:p>
    <w:p w14:paraId="4B0279E4">
      <w:pPr>
        <w:keepNext w:val="0"/>
        <w:keepLines w:val="0"/>
        <w:pageBreakBefore w:val="0"/>
        <w:kinsoku/>
        <w:wordWrap/>
        <w:overflowPunct/>
        <w:autoSpaceDE/>
        <w:bidi w:val="0"/>
        <w:spacing w:line="558" w:lineRule="exact"/>
        <w:ind w:firstLine="654"/>
        <w:textAlignment w:val="auto"/>
        <w:rPr>
          <w:rFonts w:ascii="仿宋_GB2312" w:hAnsi="Times New Roman" w:eastAsia="仿宋_GB2312"/>
          <w:b/>
          <w:snapToGrid/>
          <w:spacing w:val="3"/>
          <w:szCs w:val="32"/>
        </w:rPr>
      </w:pPr>
      <w:r>
        <w:rPr>
          <w:rFonts w:hint="eastAsia" w:ascii="仿宋_GB2312" w:hAnsi="Times New Roman" w:eastAsia="仿宋_GB2312"/>
          <w:b/>
          <w:snapToGrid/>
          <w:spacing w:val="3"/>
          <w:szCs w:val="32"/>
        </w:rPr>
        <w:t>3、国有资本经营预算</w:t>
      </w:r>
    </w:p>
    <w:p w14:paraId="1C6BAB98">
      <w:pPr>
        <w:keepNext w:val="0"/>
        <w:keepLines w:val="0"/>
        <w:pageBreakBefore w:val="0"/>
        <w:kinsoku/>
        <w:wordWrap/>
        <w:overflowPunct/>
        <w:autoSpaceDE/>
        <w:bidi w:val="0"/>
        <w:spacing w:line="558" w:lineRule="exact"/>
        <w:ind w:firstLine="652"/>
        <w:textAlignment w:val="auto"/>
        <w:rPr>
          <w:rFonts w:ascii="仿宋_GB2312" w:hAnsi="Times New Roman" w:eastAsia="仿宋_GB2312"/>
          <w:snapToGrid/>
          <w:spacing w:val="3"/>
          <w:szCs w:val="32"/>
          <w:highlight w:val="yellow"/>
        </w:rPr>
      </w:pPr>
      <w:r>
        <w:rPr>
          <w:rFonts w:hint="eastAsia" w:ascii="仿宋_GB2312" w:hAnsi="Times New Roman" w:eastAsia="仿宋_GB2312"/>
          <w:snapToGrid/>
          <w:spacing w:val="3"/>
          <w:szCs w:val="32"/>
        </w:rPr>
        <w:t>2025年国有资本经营安排支出53万元，系上级资金，用于国有企业退休人员社会化管理补助。</w:t>
      </w:r>
      <w:r>
        <w:rPr>
          <w:rFonts w:hint="eastAsia" w:ascii="仿宋_GB2312" w:hAnsi="Times New Roman" w:eastAsia="仿宋_GB2312"/>
          <w:snapToGrid/>
          <w:spacing w:val="3"/>
          <w:kern w:val="2"/>
          <w:szCs w:val="32"/>
        </w:rPr>
        <w:t>此笔支出调入一般公共预算列支。</w:t>
      </w:r>
    </w:p>
    <w:p w14:paraId="762C57F2">
      <w:pPr>
        <w:keepNext w:val="0"/>
        <w:keepLines w:val="0"/>
        <w:pageBreakBefore w:val="0"/>
        <w:kinsoku/>
        <w:wordWrap/>
        <w:overflowPunct/>
        <w:autoSpaceDE/>
        <w:bidi w:val="0"/>
        <w:spacing w:line="558" w:lineRule="exact"/>
        <w:ind w:firstLine="654"/>
        <w:textAlignment w:val="auto"/>
        <w:rPr>
          <w:rFonts w:ascii="仿宋_GB2312" w:hAnsi="Times New Roman" w:eastAsia="仿宋_GB2312"/>
          <w:b/>
          <w:snapToGrid/>
          <w:spacing w:val="3"/>
          <w:szCs w:val="32"/>
        </w:rPr>
      </w:pPr>
      <w:r>
        <w:rPr>
          <w:rFonts w:hint="eastAsia" w:ascii="仿宋_GB2312" w:hAnsi="Times New Roman" w:eastAsia="仿宋_GB2312"/>
          <w:b/>
          <w:snapToGrid/>
          <w:spacing w:val="3"/>
          <w:szCs w:val="32"/>
        </w:rPr>
        <w:t>4、社会保险基金预算</w:t>
      </w:r>
    </w:p>
    <w:p w14:paraId="592BB3CD">
      <w:pPr>
        <w:keepNext w:val="0"/>
        <w:keepLines w:val="0"/>
        <w:pageBreakBefore w:val="0"/>
        <w:kinsoku/>
        <w:wordWrap/>
        <w:overflowPunct/>
        <w:autoSpaceDE/>
        <w:bidi w:val="0"/>
        <w:spacing w:line="558" w:lineRule="exact"/>
        <w:ind w:firstLine="652"/>
        <w:textAlignment w:val="auto"/>
        <w:rPr>
          <w:rFonts w:ascii="仿宋_GB2312" w:hAnsi="Times New Roman" w:eastAsia="仿宋_GB2312"/>
          <w:snapToGrid/>
          <w:spacing w:val="3"/>
          <w:szCs w:val="32"/>
          <w:highlight w:val="yellow"/>
        </w:rPr>
      </w:pPr>
      <w:r>
        <w:rPr>
          <w:rFonts w:hint="eastAsia" w:ascii="仿宋_GB2312" w:hAnsi="Times New Roman" w:eastAsia="仿宋_GB2312"/>
          <w:snapToGrid/>
          <w:spacing w:val="3"/>
          <w:szCs w:val="32"/>
        </w:rPr>
        <w:t>2025年社会保险基金收入预算安排1.3亿元，支出预算安排1.01亿元，为居民社会养老保险基金。</w:t>
      </w:r>
    </w:p>
    <w:p w14:paraId="3020EB31">
      <w:pPr>
        <w:keepNext w:val="0"/>
        <w:keepLines w:val="0"/>
        <w:pageBreakBefore w:val="0"/>
        <w:kinsoku/>
        <w:wordWrap/>
        <w:overflowPunct/>
        <w:autoSpaceDE/>
        <w:bidi w:val="0"/>
        <w:spacing w:line="558" w:lineRule="exact"/>
        <w:ind w:firstLine="654"/>
        <w:textAlignment w:val="auto"/>
        <w:rPr>
          <w:rFonts w:ascii="楷体_GB2312" w:hAnsi="楷体" w:eastAsia="楷体_GB2312"/>
          <w:b/>
          <w:bCs/>
          <w:snapToGrid/>
          <w:spacing w:val="3"/>
          <w:kern w:val="2"/>
          <w:szCs w:val="32"/>
        </w:rPr>
      </w:pPr>
      <w:r>
        <w:rPr>
          <w:rFonts w:hint="eastAsia" w:ascii="楷体_GB2312" w:hAnsi="楷体" w:eastAsia="楷体_GB2312"/>
          <w:b/>
          <w:bCs/>
          <w:snapToGrid/>
          <w:spacing w:val="3"/>
          <w:kern w:val="2"/>
          <w:szCs w:val="32"/>
        </w:rPr>
        <w:t>（二）2025年政府债务预算情况</w:t>
      </w:r>
    </w:p>
    <w:p w14:paraId="29DEFE2D">
      <w:pPr>
        <w:keepNext w:val="0"/>
        <w:keepLines w:val="0"/>
        <w:pageBreakBefore w:val="0"/>
        <w:kinsoku/>
        <w:wordWrap/>
        <w:overflowPunct/>
        <w:autoSpaceDE/>
        <w:bidi w:val="0"/>
        <w:spacing w:line="558" w:lineRule="exact"/>
        <w:ind w:firstLine="652"/>
        <w:textAlignment w:val="auto"/>
        <w:rPr>
          <w:rFonts w:ascii="仿宋_GB2312" w:hAnsi="Times New Roman" w:eastAsia="仿宋_GB2312"/>
          <w:snapToGrid/>
          <w:spacing w:val="3"/>
          <w:szCs w:val="32"/>
        </w:rPr>
      </w:pPr>
      <w:r>
        <w:rPr>
          <w:rFonts w:hint="eastAsia" w:ascii="仿宋_GB2312" w:hAnsi="Times New Roman" w:eastAsia="仿宋_GB2312"/>
          <w:snapToGrid/>
          <w:spacing w:val="3"/>
          <w:szCs w:val="32"/>
        </w:rPr>
        <w:t>2025年债券到期总额2.03亿元，其中：应还本金4700万元（一般债券），应付利息1.56亿元（一般债券3846万元，专项债券1.17亿元）。</w:t>
      </w:r>
    </w:p>
    <w:p w14:paraId="4CE5DD10">
      <w:pPr>
        <w:keepNext w:val="0"/>
        <w:keepLines w:val="0"/>
        <w:pageBreakBefore w:val="0"/>
        <w:kinsoku/>
        <w:wordWrap/>
        <w:overflowPunct/>
        <w:autoSpaceDE/>
        <w:bidi w:val="0"/>
        <w:spacing w:line="558" w:lineRule="exact"/>
        <w:ind w:firstLine="652"/>
        <w:textAlignment w:val="auto"/>
        <w:rPr>
          <w:rFonts w:ascii="仿宋_GB2312" w:hAnsi="Times New Roman" w:eastAsia="仿宋_GB2312"/>
          <w:snapToGrid/>
          <w:spacing w:val="3"/>
          <w:szCs w:val="32"/>
        </w:rPr>
      </w:pPr>
      <w:r>
        <w:rPr>
          <w:rFonts w:hint="eastAsia" w:ascii="仿宋_GB2312" w:hAnsi="Times New Roman" w:eastAsia="仿宋_GB2312"/>
          <w:snapToGrid/>
          <w:spacing w:val="3"/>
          <w:szCs w:val="32"/>
        </w:rPr>
        <w:t>2025年到期债券预通过发行地方再融资债券偿还到期债券本金4200万元（一般债券），扣除再融资债券，我县列入预算1.61亿元，其中：债券本金517万元，债券利息1.56亿元。</w:t>
      </w:r>
    </w:p>
    <w:p w14:paraId="08E70342">
      <w:pPr>
        <w:keepNext w:val="0"/>
        <w:keepLines w:val="0"/>
        <w:pageBreakBefore w:val="0"/>
        <w:kinsoku/>
        <w:wordWrap/>
        <w:overflowPunct/>
        <w:autoSpaceDE/>
        <w:bidi w:val="0"/>
        <w:spacing w:line="558" w:lineRule="exact"/>
        <w:ind w:firstLine="654"/>
        <w:textAlignment w:val="auto"/>
        <w:rPr>
          <w:rFonts w:ascii="楷体_GB2312" w:hAnsi="楷体" w:eastAsia="楷体_GB2312"/>
          <w:b/>
          <w:bCs/>
          <w:snapToGrid/>
          <w:spacing w:val="3"/>
          <w:kern w:val="2"/>
          <w:szCs w:val="32"/>
        </w:rPr>
      </w:pPr>
      <w:r>
        <w:rPr>
          <w:rFonts w:hint="eastAsia" w:ascii="楷体_GB2312" w:hAnsi="楷体" w:eastAsia="楷体_GB2312"/>
          <w:b/>
          <w:bCs/>
          <w:snapToGrid/>
          <w:spacing w:val="3"/>
          <w:kern w:val="2"/>
          <w:szCs w:val="32"/>
        </w:rPr>
        <w:t>（三）2025年“三保”预算情况</w:t>
      </w:r>
    </w:p>
    <w:p w14:paraId="6083A176">
      <w:pPr>
        <w:keepNext w:val="0"/>
        <w:keepLines w:val="0"/>
        <w:pageBreakBefore w:val="0"/>
        <w:kinsoku/>
        <w:wordWrap/>
        <w:overflowPunct/>
        <w:autoSpaceDE/>
        <w:bidi w:val="0"/>
        <w:snapToGrid/>
        <w:spacing w:line="558" w:lineRule="exact"/>
        <w:ind w:firstLine="652"/>
        <w:textAlignment w:val="auto"/>
        <w:rPr>
          <w:rFonts w:ascii="仿宋_GB2312" w:hAnsi="Times New Roman" w:eastAsia="仿宋_GB2312"/>
          <w:snapToGrid/>
          <w:spacing w:val="3"/>
          <w:szCs w:val="32"/>
        </w:rPr>
      </w:pPr>
      <w:r>
        <w:rPr>
          <w:rFonts w:hint="eastAsia" w:ascii="仿宋_GB2312" w:hAnsi="Times New Roman" w:eastAsia="仿宋_GB2312"/>
          <w:snapToGrid/>
          <w:spacing w:val="3"/>
          <w:szCs w:val="32"/>
        </w:rPr>
        <w:t>2025年，在财力有限的情况下，围绕“保工资、保运转、保基本民生”，拟安排“三保”支出18.52亿元，具体内容如下：</w:t>
      </w:r>
    </w:p>
    <w:p w14:paraId="2326AEA6">
      <w:pPr>
        <w:keepNext w:val="0"/>
        <w:keepLines w:val="0"/>
        <w:pageBreakBefore w:val="0"/>
        <w:kinsoku/>
        <w:wordWrap/>
        <w:overflowPunct/>
        <w:autoSpaceDE/>
        <w:bidi w:val="0"/>
        <w:snapToGrid/>
        <w:spacing w:line="558" w:lineRule="exact"/>
        <w:ind w:firstLine="654"/>
        <w:textAlignment w:val="auto"/>
        <w:rPr>
          <w:rFonts w:ascii="仿宋_GB2312" w:hAnsi="Times New Roman" w:eastAsia="仿宋_GB2312"/>
          <w:snapToGrid/>
          <w:spacing w:val="3"/>
          <w:szCs w:val="32"/>
        </w:rPr>
      </w:pPr>
      <w:r>
        <w:rPr>
          <w:rFonts w:hint="eastAsia" w:ascii="仿宋_GB2312" w:hAnsi="Times New Roman" w:eastAsia="仿宋_GB2312"/>
          <w:b/>
          <w:snapToGrid/>
          <w:spacing w:val="3"/>
          <w:szCs w:val="32"/>
        </w:rPr>
        <w:t>1、保工资支出9.9亿元。</w:t>
      </w:r>
      <w:r>
        <w:rPr>
          <w:rFonts w:hint="eastAsia" w:ascii="仿宋_GB2312" w:hAnsi="Times New Roman" w:eastAsia="仿宋_GB2312"/>
          <w:snapToGrid/>
          <w:spacing w:val="3"/>
          <w:szCs w:val="32"/>
        </w:rPr>
        <w:t>主要包括财政供养、差额补助人员工资、社会保险缴费等。</w:t>
      </w:r>
    </w:p>
    <w:p w14:paraId="2D7FF46B">
      <w:pPr>
        <w:keepNext w:val="0"/>
        <w:keepLines w:val="0"/>
        <w:pageBreakBefore w:val="0"/>
        <w:kinsoku/>
        <w:wordWrap/>
        <w:overflowPunct/>
        <w:autoSpaceDE/>
        <w:bidi w:val="0"/>
        <w:snapToGrid/>
        <w:spacing w:line="558" w:lineRule="exact"/>
        <w:ind w:firstLine="654"/>
        <w:textAlignment w:val="auto"/>
        <w:rPr>
          <w:rFonts w:ascii="仿宋_GB2312" w:hAnsi="Times New Roman" w:eastAsia="仿宋_GB2312"/>
          <w:snapToGrid/>
          <w:spacing w:val="3"/>
          <w:szCs w:val="32"/>
        </w:rPr>
      </w:pPr>
      <w:r>
        <w:rPr>
          <w:rFonts w:hint="eastAsia" w:ascii="仿宋_GB2312" w:hAnsi="Times New Roman" w:eastAsia="仿宋_GB2312"/>
          <w:b/>
          <w:snapToGrid/>
          <w:spacing w:val="3"/>
          <w:szCs w:val="32"/>
        </w:rPr>
        <w:t>2、保运转支出1.12亿元。</w:t>
      </w:r>
      <w:r>
        <w:rPr>
          <w:rFonts w:hint="eastAsia" w:ascii="仿宋_GB2312" w:hAnsi="Times New Roman" w:eastAsia="仿宋_GB2312"/>
          <w:snapToGrid/>
          <w:spacing w:val="3"/>
          <w:szCs w:val="32"/>
        </w:rPr>
        <w:t>主要包括县直单位、乡镇运转支出。</w:t>
      </w:r>
    </w:p>
    <w:p w14:paraId="02FE7504">
      <w:pPr>
        <w:keepNext w:val="0"/>
        <w:keepLines w:val="0"/>
        <w:pageBreakBefore w:val="0"/>
        <w:kinsoku/>
        <w:wordWrap/>
        <w:overflowPunct/>
        <w:autoSpaceDE/>
        <w:bidi w:val="0"/>
        <w:snapToGrid/>
        <w:spacing w:line="558" w:lineRule="exact"/>
        <w:ind w:firstLine="654"/>
        <w:textAlignment w:val="auto"/>
        <w:rPr>
          <w:rFonts w:ascii="仿宋_GB2312" w:hAnsi="Times New Roman" w:eastAsia="仿宋_GB2312"/>
          <w:snapToGrid/>
          <w:spacing w:val="3"/>
          <w:szCs w:val="32"/>
        </w:rPr>
      </w:pPr>
      <w:r>
        <w:rPr>
          <w:rFonts w:hint="eastAsia" w:ascii="仿宋_GB2312" w:hAnsi="Times New Roman" w:eastAsia="仿宋_GB2312"/>
          <w:b/>
          <w:snapToGrid/>
          <w:spacing w:val="3"/>
          <w:szCs w:val="32"/>
        </w:rPr>
        <w:t>3、保基本民生支出7.5亿元。</w:t>
      </w:r>
      <w:r>
        <w:rPr>
          <w:rFonts w:hint="eastAsia" w:ascii="仿宋_GB2312" w:hAnsi="Times New Roman" w:eastAsia="仿宋_GB2312"/>
          <w:snapToGrid/>
          <w:spacing w:val="3"/>
          <w:szCs w:val="32"/>
        </w:rPr>
        <w:t>主要包括城乡低保五保、城乡居民养老保险、孤儿生活保障、优抚对象抚恤和生活补助、义务兵优待金、退役安置等社会保障支出3.3亿元，基本公共卫生、计划生育等卫生健康支出1.89亿元，城乡义务教育经费保障机制、学前教育、义务教育薄弱环节改善与能力提升、普通高中助学金、两免一补等教育支出6619万元，水、热、气、电、污水处理、公共交通等其他民生支出6748万元，乡村振兴资金5823万元，村级支出3720万元，博物馆、纪念馆免费开放补助和公共美术馆、图书馆、文化馆站免费开放补助等文化旅游支出168万元。</w:t>
      </w:r>
    </w:p>
    <w:p w14:paraId="65995AE6">
      <w:pPr>
        <w:keepNext w:val="0"/>
        <w:keepLines w:val="0"/>
        <w:pageBreakBefore w:val="0"/>
        <w:kinsoku/>
        <w:wordWrap/>
        <w:overflowPunct/>
        <w:topLinePunct/>
        <w:autoSpaceDE/>
        <w:bidi w:val="0"/>
        <w:adjustRightInd/>
        <w:snapToGrid/>
        <w:spacing w:line="558" w:lineRule="exact"/>
        <w:ind w:firstLine="652"/>
        <w:textAlignment w:val="auto"/>
        <w:rPr>
          <w:rFonts w:ascii="黑体" w:hAnsi="黑体" w:eastAsia="黑体"/>
          <w:snapToGrid/>
          <w:spacing w:val="3"/>
          <w:kern w:val="2"/>
          <w:szCs w:val="32"/>
        </w:rPr>
      </w:pPr>
      <w:r>
        <w:rPr>
          <w:rFonts w:hint="eastAsia" w:ascii="黑体" w:hAnsi="黑体" w:eastAsia="黑体"/>
          <w:snapToGrid/>
          <w:spacing w:val="3"/>
          <w:kern w:val="2"/>
          <w:szCs w:val="32"/>
        </w:rPr>
        <w:t>四、2025年财政工作打算</w:t>
      </w:r>
    </w:p>
    <w:p w14:paraId="72134275">
      <w:pPr>
        <w:keepNext w:val="0"/>
        <w:keepLines w:val="0"/>
        <w:pageBreakBefore w:val="0"/>
        <w:kinsoku/>
        <w:wordWrap/>
        <w:overflowPunct/>
        <w:autoSpaceDE/>
        <w:bidi w:val="0"/>
        <w:adjustRightInd/>
        <w:snapToGrid/>
        <w:spacing w:line="558" w:lineRule="exact"/>
        <w:ind w:firstLine="654"/>
        <w:textAlignment w:val="auto"/>
        <w:rPr>
          <w:rFonts w:ascii="仿宋_GB2312" w:hAnsi="Times New Roman" w:eastAsia="仿宋_GB2312"/>
          <w:snapToGrid/>
          <w:kern w:val="2"/>
          <w:szCs w:val="32"/>
        </w:rPr>
      </w:pPr>
      <w:r>
        <w:rPr>
          <w:rFonts w:hint="eastAsia" w:ascii="楷体_GB2312" w:hAnsi="楷体" w:eastAsia="楷体_GB2312"/>
          <w:b/>
          <w:bCs/>
          <w:snapToGrid/>
          <w:spacing w:val="3"/>
          <w:kern w:val="2"/>
          <w:szCs w:val="32"/>
        </w:rPr>
        <w:t>（一）培育后继财源，增强财政后劲。</w:t>
      </w:r>
      <w:r>
        <w:rPr>
          <w:rFonts w:hint="eastAsia" w:ascii="仿宋_GB2312" w:hAnsi="Times New Roman" w:eastAsia="仿宋_GB2312"/>
          <w:b/>
          <w:bCs/>
          <w:snapToGrid/>
          <w:kern w:val="2"/>
          <w:szCs w:val="32"/>
        </w:rPr>
        <w:t>一是</w:t>
      </w:r>
      <w:r>
        <w:rPr>
          <w:rFonts w:hint="eastAsia" w:ascii="仿宋_GB2312" w:hAnsi="Times New Roman" w:eastAsia="仿宋_GB2312"/>
          <w:snapToGrid/>
          <w:kern w:val="2"/>
          <w:szCs w:val="32"/>
        </w:rPr>
        <w:t>抓住“工业强县”这个龙头，进一步优化产业布局，按照市委培育“8+6”产业集群和12条重点产业链的总体布局，依托自然资源禀赋优势和现有产业基础，集中财力提升产业园区水电路等基础设施建设，明确“3+2”产业链群的主攻方向，打造铝基材料产业集群、现代化食品产业集群、循环经济产业集群和锂电、新能源2条产业链。统筹各类资金，支持深入推进“两重”等项目建设，重点支持科技创新、新型基础设施、基本民生等薄弱领域补短板，推动“十四五”重大工程加快建成、“十五五”重大项目谋划储备。</w:t>
      </w:r>
      <w:r>
        <w:rPr>
          <w:rFonts w:hint="eastAsia" w:ascii="仿宋_GB2312" w:hAnsi="Times New Roman" w:eastAsia="仿宋_GB2312"/>
          <w:b/>
          <w:bCs/>
          <w:snapToGrid/>
          <w:kern w:val="2"/>
          <w:szCs w:val="32"/>
        </w:rPr>
        <w:t>二是</w:t>
      </w:r>
      <w:r>
        <w:rPr>
          <w:rFonts w:hint="eastAsia" w:ascii="仿宋_GB2312" w:hAnsi="Times New Roman" w:eastAsia="仿宋_GB2312"/>
          <w:snapToGrid/>
          <w:kern w:val="2"/>
          <w:szCs w:val="32"/>
        </w:rPr>
        <w:t>培育壮大市场主体，树牢服务企业就是服务工作大局理念，落实支持个体工商户和小微企业高质量发展的财税政策措施，在财政补助、税费优惠、政府采购等方面对各类经营主体一视同仁、平等对待，持续激发市场活力。</w:t>
      </w:r>
      <w:r>
        <w:rPr>
          <w:rFonts w:hint="eastAsia" w:ascii="仿宋_GB2312" w:hAnsi="Times New Roman" w:eastAsia="仿宋_GB2312"/>
          <w:b/>
          <w:bCs/>
          <w:snapToGrid/>
          <w:kern w:val="2"/>
          <w:szCs w:val="32"/>
        </w:rPr>
        <w:t>三是</w:t>
      </w:r>
      <w:r>
        <w:rPr>
          <w:rFonts w:hint="eastAsia" w:ascii="仿宋_GB2312" w:hAnsi="Times New Roman" w:eastAsia="仿宋_GB2312"/>
          <w:snapToGrid/>
          <w:kern w:val="2"/>
          <w:szCs w:val="32"/>
        </w:rPr>
        <w:t>落实更加积极的财政政策。发挥内需对经济发展的支撑作用，推动消费和投资相互促进、良性循环，着力激发增长动能、提振发展信心。</w:t>
      </w:r>
      <w:r>
        <w:rPr>
          <w:rFonts w:hint="eastAsia" w:ascii="仿宋_GB2312" w:hAnsi="Times New Roman" w:eastAsia="仿宋_GB2312"/>
          <w:b/>
          <w:bCs/>
          <w:snapToGrid/>
          <w:kern w:val="2"/>
          <w:szCs w:val="32"/>
        </w:rPr>
        <w:t>四是</w:t>
      </w:r>
      <w:r>
        <w:rPr>
          <w:rFonts w:hint="eastAsia" w:ascii="仿宋_GB2312" w:hAnsi="Times New Roman" w:eastAsia="仿宋_GB2312"/>
          <w:snapToGrid/>
          <w:kern w:val="2"/>
          <w:szCs w:val="32"/>
        </w:rPr>
        <w:t>促进消费稳定增长。推进大规模设备更新和消费品以旧换新，用好中央补助资金，落实地方支出责任，因地制宜开展促消费活动，推动政策直达快享，带动多领域消费增长。研究鼓励和引导消费的财税政策，积极培育新的消费增长点。加快消费基础设施建设，提质升级消费载体。健全社会保障体系，推动中低收入群体增收减负，有效提升消费意愿。</w:t>
      </w:r>
    </w:p>
    <w:p w14:paraId="20B44404">
      <w:pPr>
        <w:keepNext w:val="0"/>
        <w:keepLines w:val="0"/>
        <w:pageBreakBefore w:val="0"/>
        <w:kinsoku/>
        <w:wordWrap/>
        <w:overflowPunct/>
        <w:autoSpaceDE/>
        <w:bidi w:val="0"/>
        <w:spacing w:line="558" w:lineRule="exact"/>
        <w:ind w:firstLine="654"/>
        <w:textAlignment w:val="auto"/>
        <w:rPr>
          <w:rFonts w:ascii="仿宋_GB2312" w:hAnsi="Times New Roman" w:eastAsia="仿宋_GB2312"/>
          <w:snapToGrid/>
          <w:kern w:val="2"/>
          <w:szCs w:val="32"/>
        </w:rPr>
      </w:pPr>
      <w:r>
        <w:rPr>
          <w:rFonts w:hint="eastAsia" w:ascii="楷体_GB2312" w:hAnsi="楷体" w:eastAsia="楷体_GB2312"/>
          <w:b/>
          <w:bCs/>
          <w:snapToGrid/>
          <w:spacing w:val="3"/>
          <w:kern w:val="2"/>
          <w:szCs w:val="32"/>
        </w:rPr>
        <w:t>（二）争取上级资金，缓解支出压力。</w:t>
      </w:r>
      <w:r>
        <w:rPr>
          <w:rFonts w:hint="eastAsia" w:ascii="仿宋_GB2312" w:hAnsi="Times New Roman" w:eastAsia="仿宋_GB2312"/>
          <w:b/>
          <w:bCs/>
          <w:snapToGrid/>
          <w:kern w:val="2"/>
          <w:szCs w:val="32"/>
        </w:rPr>
        <w:t>一是</w:t>
      </w:r>
      <w:r>
        <w:rPr>
          <w:rFonts w:hint="eastAsia" w:ascii="仿宋_GB2312" w:hAnsi="Times New Roman" w:eastAsia="仿宋_GB2312"/>
          <w:snapToGrid/>
          <w:kern w:val="2"/>
          <w:szCs w:val="32"/>
        </w:rPr>
        <w:t>争取专项债券资金。聚焦国家“一揽子”增量政策，抓住中央10万亿元置换债券机遇，制定出台县级配套举措，确保精准承接落地，让政策“含金量”转化为发展“实物量”。通过发行利率更低、周期更长的地方政府债券，置换银行贷款、城投债等形成的存量隐性债务，减轻地方政府债务负担。2025年省财政厅下达我县置换专项债券额度3.6亿元，资金已到位2亿元。</w:t>
      </w:r>
      <w:r>
        <w:rPr>
          <w:rFonts w:hint="eastAsia" w:ascii="仿宋_GB2312" w:hAnsi="Times New Roman" w:eastAsia="仿宋_GB2312"/>
          <w:b/>
          <w:bCs/>
          <w:snapToGrid/>
          <w:kern w:val="2"/>
          <w:szCs w:val="32"/>
        </w:rPr>
        <w:t>二是</w:t>
      </w:r>
      <w:r>
        <w:rPr>
          <w:rFonts w:hint="eastAsia" w:ascii="仿宋_GB2312" w:hAnsi="Times New Roman" w:eastAsia="仿宋_GB2312"/>
          <w:snapToGrid/>
          <w:kern w:val="2"/>
          <w:szCs w:val="32"/>
        </w:rPr>
        <w:t>争取中央预算内投资。</w:t>
      </w:r>
      <w:r>
        <w:rPr>
          <w:rFonts w:hint="eastAsia" w:ascii="仿宋_GB2312" w:hAnsi="Times New Roman" w:eastAsia="仿宋_GB2312"/>
          <w:szCs w:val="32"/>
        </w:rPr>
        <w:t>继续加强与上级部门的密切衔接，持续深入研究中央最新政策，吃透精神要义。各部门团结协作，密切配合，充分抓住政策利好“窗口期”，积极谋划项目，全力争取中央预算投资、“两新”“两重”等各类资金，为全县经济高质量发展提供有力的资金支持。</w:t>
      </w:r>
    </w:p>
    <w:p w14:paraId="2E69EB25">
      <w:pPr>
        <w:keepNext w:val="0"/>
        <w:keepLines w:val="0"/>
        <w:pageBreakBefore w:val="0"/>
        <w:kinsoku/>
        <w:wordWrap/>
        <w:overflowPunct/>
        <w:autoSpaceDE/>
        <w:bidi w:val="0"/>
        <w:spacing w:line="558" w:lineRule="exact"/>
        <w:ind w:firstLine="654"/>
        <w:textAlignment w:val="auto"/>
        <w:rPr>
          <w:rFonts w:ascii="仿宋_GB2312" w:hAnsi="Times New Roman" w:eastAsia="仿宋_GB2312"/>
          <w:snapToGrid/>
          <w:kern w:val="2"/>
          <w:szCs w:val="32"/>
        </w:rPr>
      </w:pPr>
      <w:r>
        <w:rPr>
          <w:rFonts w:hint="eastAsia" w:ascii="楷体_GB2312" w:hAnsi="楷体" w:eastAsia="楷体_GB2312"/>
          <w:b/>
          <w:bCs/>
          <w:snapToGrid/>
          <w:spacing w:val="3"/>
          <w:kern w:val="2"/>
          <w:szCs w:val="32"/>
        </w:rPr>
        <w:t>（三）深化财税体制改革，优化资源配置。</w:t>
      </w:r>
      <w:r>
        <w:rPr>
          <w:rFonts w:hint="eastAsia" w:ascii="仿宋_GB2312" w:hAnsi="Times New Roman" w:eastAsia="仿宋_GB2312"/>
          <w:snapToGrid/>
          <w:kern w:val="2"/>
          <w:szCs w:val="32"/>
        </w:rPr>
        <w:t>推进财政资源统筹，提高预算管理完整性。优化财政资源配置机制，深化零基预算改革，强化支出标准体系建设，打破支出固化僵化格局。加强财政收支分析研判，用好财政承受能力论证、重大支出事前绩效评估、财政投资评审等手段，把好重大支出关口，推动财政资源统筹和可持续发展，按照量力而行、尽力而为的原则，严控新上项目，提高预算安排与财力状况的匹配度，集中财力建设黄河路西延、韶峰路北延、高铁站安装电梯等群众关心的热点和难点的民生实事。进一步改革完善财政体制，落实落细已出台的省与市县财政事权和支出责任划分改革相关方案，稳步推进财政体制改革。</w:t>
      </w:r>
    </w:p>
    <w:p w14:paraId="1988618E">
      <w:pPr>
        <w:keepNext w:val="0"/>
        <w:keepLines w:val="0"/>
        <w:pageBreakBefore w:val="0"/>
        <w:suppressAutoHyphens/>
        <w:kinsoku/>
        <w:wordWrap/>
        <w:overflowPunct/>
        <w:autoSpaceDE/>
        <w:bidi w:val="0"/>
        <w:adjustRightInd/>
        <w:snapToGrid/>
        <w:spacing w:line="558" w:lineRule="exact"/>
        <w:ind w:firstLine="654"/>
        <w:textAlignment w:val="auto"/>
        <w:rPr>
          <w:rFonts w:ascii="仿宋_GB2312" w:hAnsi="Times New Roman" w:eastAsia="仿宋_GB2312"/>
          <w:snapToGrid/>
          <w:kern w:val="2"/>
          <w:szCs w:val="32"/>
        </w:rPr>
      </w:pPr>
      <w:r>
        <w:rPr>
          <w:rFonts w:hint="eastAsia" w:ascii="楷体_GB2312" w:hAnsi="楷体" w:eastAsia="楷体_GB2312"/>
          <w:b/>
          <w:bCs/>
          <w:snapToGrid/>
          <w:spacing w:val="3"/>
          <w:kern w:val="2"/>
          <w:szCs w:val="32"/>
        </w:rPr>
        <w:t>（四）优化支出结构，兜牢“三保”底线。</w:t>
      </w:r>
      <w:r>
        <w:rPr>
          <w:rFonts w:hint="eastAsia" w:ascii="仿宋_GB2312" w:hAnsi="Times New Roman" w:eastAsia="仿宋_GB2312"/>
          <w:snapToGrid/>
          <w:kern w:val="2"/>
          <w:szCs w:val="32"/>
        </w:rPr>
        <w:t>将“三保”作为财政工作首要目标任务，认真贯彻落实省委省政府、市委市政府关于“三保”工作的最新要求，压实“三保”支出责任。将人均月5</w:t>
      </w:r>
      <w:r>
        <w:rPr>
          <w:rFonts w:ascii="仿宋_GB2312" w:hAnsi="Times New Roman" w:eastAsia="仿宋_GB2312"/>
          <w:snapToGrid/>
          <w:kern w:val="2"/>
          <w:szCs w:val="32"/>
        </w:rPr>
        <w:t>00</w:t>
      </w:r>
      <w:r>
        <w:rPr>
          <w:rFonts w:hint="eastAsia" w:ascii="仿宋_GB2312" w:hAnsi="Times New Roman" w:eastAsia="仿宋_GB2312"/>
          <w:snapToGrid/>
          <w:kern w:val="2"/>
          <w:szCs w:val="32"/>
        </w:rPr>
        <w:t>元的调资纳入预算和“三保”范围，足额安排“三保”支出预算，优先保障“三保”支出，强化预算执行管控和资金调度，保障“三保”支出需求，加强地方财政运行监测，动态掌握“三保”支出进度。完善应急处理机制，健全“三保”风险处置预案，兜牢兜实“三保”底线，确保全年18.52亿元“三保”支出足额落实到位。加强暂付款管理，严格控制增量，逐步消化存量。</w:t>
      </w:r>
    </w:p>
    <w:p w14:paraId="7EA25413">
      <w:pPr>
        <w:keepNext w:val="0"/>
        <w:keepLines w:val="0"/>
        <w:pageBreakBefore w:val="0"/>
        <w:suppressAutoHyphens/>
        <w:kinsoku/>
        <w:wordWrap/>
        <w:overflowPunct/>
        <w:autoSpaceDE/>
        <w:bidi w:val="0"/>
        <w:adjustRightInd/>
        <w:snapToGrid/>
        <w:spacing w:line="558" w:lineRule="exact"/>
        <w:ind w:firstLine="654"/>
        <w:textAlignment w:val="auto"/>
        <w:rPr>
          <w:rFonts w:ascii="仿宋_GB2312" w:hAnsi="Times New Roman" w:eastAsia="仿宋_GB2312"/>
          <w:snapToGrid/>
          <w:kern w:val="2"/>
          <w:szCs w:val="32"/>
        </w:rPr>
      </w:pPr>
      <w:r>
        <w:rPr>
          <w:rFonts w:hint="eastAsia" w:ascii="楷体_GB2312" w:hAnsi="楷体" w:eastAsia="楷体_GB2312"/>
          <w:b/>
          <w:bCs/>
          <w:snapToGrid/>
          <w:spacing w:val="3"/>
          <w:kern w:val="2"/>
          <w:szCs w:val="32"/>
        </w:rPr>
        <w:t>（五）落实过</w:t>
      </w:r>
      <w:r>
        <w:rPr>
          <w:rFonts w:hint="eastAsia" w:ascii="楷体_GB2312" w:hAnsi="楷体" w:eastAsia="楷体_GB2312"/>
          <w:b/>
          <w:bCs/>
          <w:snapToGrid/>
          <w:spacing w:val="3"/>
          <w:kern w:val="2"/>
          <w:szCs w:val="32"/>
          <w:lang w:eastAsia="zh-CN"/>
        </w:rPr>
        <w:t>“</w:t>
      </w:r>
      <w:r>
        <w:rPr>
          <w:rFonts w:hint="eastAsia" w:ascii="楷体_GB2312" w:hAnsi="楷体" w:eastAsia="楷体_GB2312"/>
          <w:b/>
          <w:bCs/>
          <w:snapToGrid/>
          <w:spacing w:val="3"/>
          <w:kern w:val="2"/>
          <w:szCs w:val="32"/>
        </w:rPr>
        <w:t>紧日子”要求，降低运行成本。</w:t>
      </w:r>
      <w:r>
        <w:rPr>
          <w:rFonts w:hint="eastAsia" w:ascii="仿宋_GB2312" w:hAnsi="Times New Roman" w:eastAsia="仿宋_GB2312"/>
          <w:snapToGrid/>
          <w:kern w:val="2"/>
          <w:szCs w:val="32"/>
        </w:rPr>
        <w:t>持续树立政府过“紧日子”思想，把勤俭办事作为长期坚持的基本方针，不该开支、不必开支的一律不开支，必要支出也要从紧安排。严格预算编制，强化预算执行，切实做到“无预算不支出”。加强财政资金监管，完善国库资金管理，及时跟踪部门过</w:t>
      </w:r>
      <w:r>
        <w:rPr>
          <w:rFonts w:hint="eastAsia" w:ascii="仿宋_GB2312" w:hAnsi="Times New Roman" w:eastAsia="仿宋_GB2312"/>
          <w:snapToGrid/>
          <w:kern w:val="2"/>
          <w:szCs w:val="32"/>
          <w:lang w:eastAsia="zh-CN"/>
        </w:rPr>
        <w:t>“</w:t>
      </w:r>
      <w:r>
        <w:rPr>
          <w:rFonts w:hint="eastAsia" w:ascii="仿宋_GB2312" w:hAnsi="Times New Roman" w:eastAsia="仿宋_GB2312"/>
          <w:snapToGrid/>
          <w:kern w:val="2"/>
          <w:szCs w:val="32"/>
        </w:rPr>
        <w:t>紧日子</w:t>
      </w:r>
      <w:r>
        <w:rPr>
          <w:rFonts w:hint="eastAsia" w:ascii="仿宋_GB2312" w:hAnsi="Times New Roman" w:eastAsia="仿宋_GB2312"/>
          <w:snapToGrid/>
          <w:kern w:val="2"/>
          <w:szCs w:val="32"/>
          <w:lang w:eastAsia="zh-CN"/>
        </w:rPr>
        <w:t>”</w:t>
      </w:r>
      <w:r>
        <w:rPr>
          <w:rFonts w:hint="eastAsia" w:ascii="仿宋_GB2312" w:hAnsi="Times New Roman" w:eastAsia="仿宋_GB2312"/>
          <w:snapToGrid/>
          <w:kern w:val="2"/>
          <w:szCs w:val="32"/>
        </w:rPr>
        <w:t>情况，真正把钱花在刀刃上、用在紧要处。持续精简规范节庆活动，严禁建设政绩工程、形象工程。严格新增资产配置管理，强化与存量资产统筹，加快资产盘活，推动资产共享共用，防止资产闲置浪费。</w:t>
      </w:r>
    </w:p>
    <w:p w14:paraId="0F11B2A2">
      <w:pPr>
        <w:keepNext w:val="0"/>
        <w:keepLines w:val="0"/>
        <w:pageBreakBefore w:val="0"/>
        <w:suppressAutoHyphens/>
        <w:kinsoku/>
        <w:wordWrap/>
        <w:overflowPunct/>
        <w:autoSpaceDE/>
        <w:autoSpaceDN w:val="0"/>
        <w:bidi w:val="0"/>
        <w:adjustRightInd/>
        <w:snapToGrid/>
        <w:spacing w:line="558" w:lineRule="exact"/>
        <w:ind w:firstLine="654"/>
        <w:textAlignment w:val="auto"/>
        <w:rPr>
          <w:rFonts w:ascii="仿宋_GB2312" w:hAnsi="Times New Roman" w:eastAsia="仿宋_GB2312"/>
          <w:snapToGrid/>
          <w:kern w:val="2"/>
          <w:szCs w:val="32"/>
        </w:rPr>
      </w:pPr>
      <w:r>
        <w:rPr>
          <w:rFonts w:hint="eastAsia" w:ascii="楷体_GB2312" w:hAnsi="楷体" w:eastAsia="楷体_GB2312"/>
          <w:b/>
          <w:bCs/>
          <w:snapToGrid/>
          <w:spacing w:val="3"/>
          <w:kern w:val="2"/>
          <w:szCs w:val="32"/>
        </w:rPr>
        <w:t>（六）加强预算绩效管理，提高资金效益。</w:t>
      </w:r>
      <w:r>
        <w:rPr>
          <w:rFonts w:hint="eastAsia" w:ascii="仿宋_GB2312" w:hAnsi="Times New Roman" w:eastAsia="仿宋_GB2312"/>
          <w:snapToGrid/>
          <w:kern w:val="2"/>
          <w:szCs w:val="32"/>
        </w:rPr>
        <w:t>进一步完善“预算编制有目标、预算执行有监控、预算完成有评价、评价结果有反馈、反馈结果有应用”的全链条机制，提高预算管理水平和政策实施效果。突出预算绩效管理重点，加强重大财政政策评估评价，增强政策可行性和财政可持续性。加强绩效评价结果运用，将评价结果与完善政策、调整预算、资金分配有机衔接，推动问题解决，形成评价、整改、提升的良性循环，努力提高财政资金使用效益。</w:t>
      </w:r>
    </w:p>
    <w:p w14:paraId="5239D842">
      <w:pPr>
        <w:keepNext w:val="0"/>
        <w:keepLines w:val="0"/>
        <w:pageBreakBefore w:val="0"/>
        <w:suppressAutoHyphens/>
        <w:kinsoku/>
        <w:wordWrap/>
        <w:overflowPunct/>
        <w:autoSpaceDE/>
        <w:autoSpaceDN w:val="0"/>
        <w:bidi w:val="0"/>
        <w:adjustRightInd/>
        <w:snapToGrid/>
        <w:spacing w:line="558" w:lineRule="exact"/>
        <w:ind w:firstLine="654"/>
        <w:textAlignment w:val="auto"/>
        <w:rPr>
          <w:rFonts w:ascii="仿宋_GB2312" w:hAnsi="Times New Roman" w:eastAsia="仿宋_GB2312"/>
          <w:snapToGrid/>
          <w:kern w:val="2"/>
          <w:szCs w:val="32"/>
        </w:rPr>
      </w:pPr>
      <w:r>
        <w:rPr>
          <w:rFonts w:hint="eastAsia" w:ascii="楷体_GB2312" w:hAnsi="楷体" w:eastAsia="楷体_GB2312"/>
          <w:b/>
          <w:bCs/>
          <w:snapToGrid/>
          <w:spacing w:val="3"/>
          <w:kern w:val="2"/>
          <w:szCs w:val="32"/>
        </w:rPr>
        <w:t>（七）加强债务管理，防范债务风险。</w:t>
      </w:r>
      <w:r>
        <w:rPr>
          <w:rFonts w:hint="eastAsia" w:ascii="仿宋_GB2312" w:hAnsi="Times New Roman" w:eastAsia="仿宋_GB2312"/>
          <w:b/>
          <w:bCs/>
          <w:snapToGrid/>
          <w:kern w:val="2"/>
          <w:szCs w:val="32"/>
        </w:rPr>
        <w:t>一是</w:t>
      </w:r>
      <w:r>
        <w:rPr>
          <w:rFonts w:hint="eastAsia" w:ascii="仿宋_GB2312" w:hAnsi="Times New Roman" w:eastAsia="仿宋_GB2312"/>
          <w:snapToGrid/>
          <w:kern w:val="2"/>
          <w:szCs w:val="32"/>
        </w:rPr>
        <w:t>持续加强债务管理。严格执行政府举债融资负面清单制度，加强穿透式监测，稳妥化解债务存量，坚决遏制债务增量，完善债务常态化监控机制，有效防范化解各类风险隐患。进一步加强政府债务“借、用、还”管理，按照“谁使用、谁归还”的原则，分类落实偿债资金来源，确保按时还本付息。</w:t>
      </w:r>
      <w:r>
        <w:rPr>
          <w:rFonts w:hint="eastAsia" w:ascii="仿宋_GB2312" w:hAnsi="Times New Roman" w:eastAsia="仿宋_GB2312"/>
          <w:b/>
          <w:bCs/>
          <w:snapToGrid/>
          <w:kern w:val="2"/>
          <w:szCs w:val="32"/>
        </w:rPr>
        <w:t>二是</w:t>
      </w:r>
      <w:r>
        <w:rPr>
          <w:rFonts w:hint="eastAsia" w:ascii="仿宋_GB2312" w:hAnsi="Times New Roman" w:eastAsia="仿宋_GB2312"/>
          <w:snapToGrid/>
          <w:kern w:val="2"/>
          <w:szCs w:val="32"/>
        </w:rPr>
        <w:t>建立规范的举债融资机制。严格执行预算法和国发〔2014〕43号文件规定，政府举债一律在国务院批准的限额内发行地方政府债券，除此以外不得以任何方式举借债务、不得为任何单位和个人的债务以任何方式提供担保，不得承诺为其他任何单位和个人的融资承担偿债责任。科学制定债券发行计划，根据实际需求合理控制节奏和规模，提高债券透明度和资金使用效益，建立信息共享机制。</w:t>
      </w:r>
      <w:r>
        <w:rPr>
          <w:rFonts w:hint="eastAsia" w:ascii="仿宋_GB2312" w:hAnsi="Times New Roman" w:eastAsia="仿宋_GB2312"/>
          <w:b/>
          <w:bCs/>
          <w:snapToGrid/>
          <w:kern w:val="2"/>
          <w:szCs w:val="32"/>
        </w:rPr>
        <w:t>三是</w:t>
      </w:r>
      <w:r>
        <w:rPr>
          <w:rFonts w:hint="eastAsia" w:ascii="仿宋_GB2312" w:hAnsi="Times New Roman" w:eastAsia="仿宋_GB2312"/>
          <w:snapToGrid/>
          <w:kern w:val="2"/>
          <w:szCs w:val="32"/>
        </w:rPr>
        <w:t>严控债务风险。通过统筹财政资金、整合平台公司、争取政策性资金、运用社会资本、用活金融政策、金融支持缓解风险、盘活国有资产、用足再融资新增专项债券调整政策等措施化解地方债务风险，完善政府债务常态化监测和风险评估预警机制，加强风险评估结果应用，全面夯实偿债责任，确保按计划完成年度化解任务。</w:t>
      </w:r>
      <w:r>
        <w:rPr>
          <w:rFonts w:hint="eastAsia" w:ascii="仿宋_GB2312" w:hAnsi="Times New Roman" w:eastAsia="仿宋_GB2312"/>
          <w:b/>
          <w:bCs/>
          <w:snapToGrid/>
          <w:kern w:val="2"/>
          <w:szCs w:val="32"/>
        </w:rPr>
        <w:t>四是</w:t>
      </w:r>
      <w:r>
        <w:rPr>
          <w:rFonts w:hint="eastAsia" w:ascii="仿宋_GB2312" w:hAnsi="Times New Roman" w:eastAsia="仿宋_GB2312"/>
          <w:snapToGrid/>
          <w:kern w:val="2"/>
          <w:szCs w:val="32"/>
        </w:rPr>
        <w:t>加强政府投资管理。严格研判投资项目建设的必要性和远瞻性，注重政府投资项目的综合绩效和长远规划，资金概算要精准有据，资金来源落实具体，无资金来源的严禁开工建设。严禁违规兴建政府性楼堂馆所和信息化项目，新增办公用房需求一律在闲置房中调剂。</w:t>
      </w:r>
    </w:p>
    <w:p w14:paraId="123D1A8E">
      <w:pPr>
        <w:keepNext w:val="0"/>
        <w:keepLines w:val="0"/>
        <w:pageBreakBefore w:val="0"/>
        <w:suppressAutoHyphens/>
        <w:kinsoku/>
        <w:wordWrap/>
        <w:overflowPunct/>
        <w:autoSpaceDE/>
        <w:autoSpaceDN w:val="0"/>
        <w:bidi w:val="0"/>
        <w:adjustRightInd/>
        <w:snapToGrid/>
        <w:spacing w:line="558" w:lineRule="exact"/>
        <w:ind w:firstLine="654"/>
        <w:textAlignment w:val="auto"/>
        <w:rPr>
          <w:rFonts w:ascii="仿宋_GB2312" w:hAnsi="Times New Roman" w:eastAsia="仿宋_GB2312"/>
          <w:snapToGrid/>
          <w:kern w:val="2"/>
          <w:szCs w:val="32"/>
        </w:rPr>
      </w:pPr>
      <w:r>
        <w:rPr>
          <w:rFonts w:hint="eastAsia" w:ascii="楷体_GB2312" w:hAnsi="楷体" w:eastAsia="楷体_GB2312"/>
          <w:b/>
          <w:bCs/>
          <w:snapToGrid/>
          <w:spacing w:val="3"/>
          <w:kern w:val="2"/>
          <w:szCs w:val="32"/>
        </w:rPr>
        <w:t>（八）加强财会监督，规范预算执行。</w:t>
      </w:r>
      <w:r>
        <w:rPr>
          <w:rFonts w:hint="eastAsia" w:ascii="仿宋_GB2312" w:hAnsi="Times New Roman" w:eastAsia="仿宋_GB2312"/>
          <w:snapToGrid/>
          <w:kern w:val="2"/>
          <w:szCs w:val="32"/>
        </w:rPr>
        <w:t>进一步完善财会监督体系和工作机制，持续宣传贯彻落实新《会计法》，依法依规加强对党政机关、企事业单位等的财政、财务、会计活动监督。扎实组织开展财会监督专项行动，持续夯实财会基础管理，加大对违法违规行为的处理处罚和通报曝光，推动财会监督与其他各类监督贯通协调，形成监督合力，持续提升财会监督效能，切实严肃财经纪律。认真听取吸纳人大代表和社会各界意见建议，持续加强和改进财政预算管理，及时报告财税改革和财政重点工作进展，做好与代表委员日常沟通交流，认真落实代表委员提出的意见建议，把办理建议提案同完善政策、健全机制、改进工作结合起来，推动解决群众关心、社会关注的重点难点问题。</w:t>
      </w:r>
    </w:p>
    <w:p w14:paraId="386D7305">
      <w:pPr>
        <w:keepNext w:val="0"/>
        <w:keepLines w:val="0"/>
        <w:pageBreakBefore w:val="0"/>
        <w:pBdr>
          <w:top w:val="none" w:color="000000" w:sz="0" w:space="0"/>
          <w:left w:val="none" w:color="000000" w:sz="0" w:space="0"/>
          <w:bottom w:val="none" w:color="000000" w:sz="0" w:space="31"/>
          <w:right w:val="none" w:color="000000" w:sz="0" w:space="0"/>
        </w:pBdr>
        <w:suppressAutoHyphens/>
        <w:kinsoku/>
        <w:wordWrap/>
        <w:overflowPunct/>
        <w:autoSpaceDE/>
        <w:bidi w:val="0"/>
        <w:spacing w:line="558" w:lineRule="exact"/>
        <w:ind w:firstLine="640"/>
        <w:textAlignment w:val="auto"/>
        <w:rPr>
          <w:rFonts w:ascii="仿宋_GB2312" w:hAnsi="Times New Roman" w:eastAsia="仿宋_GB2312"/>
          <w:snapToGrid/>
          <w:kern w:val="2"/>
          <w:szCs w:val="32"/>
        </w:rPr>
      </w:pPr>
      <w:r>
        <w:rPr>
          <w:rFonts w:hint="eastAsia" w:ascii="仿宋_GB2312" w:hAnsi="Times New Roman" w:eastAsia="仿宋_GB2312"/>
          <w:snapToGrid/>
          <w:kern w:val="2"/>
          <w:szCs w:val="32"/>
        </w:rPr>
        <w:t>各位代表，梦虽遥，追则能达；愿虽艰，持则可圆。我们将坚持以习近平新时代中国特色社会主义思想为指导，深入贯彻党的二十大和二十届二中、三中全会精神，在县委坚强领导下，在县人大、县政协监督支持下，干字当头、奋勇争先，以饱满的精神状态和奋斗姿态扎实做好财政各项工作，坚决落实本次会议决议，为奋力谱写中国式现代化渑池篇章而不懈奋斗！</w:t>
      </w:r>
    </w:p>
    <w:p w14:paraId="51B6E811">
      <w:pPr>
        <w:pStyle w:val="32"/>
        <w:keepNext w:val="0"/>
        <w:keepLines w:val="0"/>
        <w:pageBreakBefore w:val="0"/>
        <w:kinsoku/>
        <w:wordWrap/>
        <w:overflowPunct/>
        <w:autoSpaceDE/>
        <w:bidi w:val="0"/>
        <w:spacing w:before="0" w:beforeAutospacing="0" w:after="0" w:afterAutospacing="0" w:line="558" w:lineRule="exact"/>
        <w:ind w:firstLine="0" w:firstLineChars="0"/>
        <w:jc w:val="both"/>
        <w:textAlignment w:val="auto"/>
        <w:rPr>
          <w:rFonts w:ascii="仿宋_GB2312" w:hAnsi="Arial" w:eastAsia="仿宋_GB2312" w:cs="Arial"/>
          <w:color w:val="000000" w:themeColor="text1"/>
          <w:sz w:val="32"/>
          <w:szCs w:val="32"/>
          <w14:textFill>
            <w14:solidFill>
              <w14:schemeClr w14:val="tx1"/>
            </w14:solidFill>
          </w14:textFill>
        </w:rPr>
        <w:sectPr>
          <w:headerReference r:id="rId5" w:type="default"/>
          <w:footerReference r:id="rId6" w:type="default"/>
          <w:pgSz w:w="11906" w:h="16838"/>
          <w:pgMar w:top="1440" w:right="1803" w:bottom="1440" w:left="1803" w:header="851" w:footer="805" w:gutter="0"/>
          <w:cols w:space="0" w:num="1"/>
          <w:docGrid w:type="lines" w:linePitch="450" w:charSpace="0"/>
        </w:sectPr>
      </w:pPr>
    </w:p>
    <w:p w14:paraId="2A6A0FB4">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5F57638F">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0BF88A98">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1CE61745">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72F2CD3A">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4EC227F8">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0A5E31C2">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277505F2">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1354F91D">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746DC3D7">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12079F5C">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6E4DDD73">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p>
    <w:p w14:paraId="6D945945">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r>
        <w:rPr>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19050</wp:posOffset>
                </wp:positionH>
                <wp:positionV relativeFrom="paragraph">
                  <wp:posOffset>491490</wp:posOffset>
                </wp:positionV>
                <wp:extent cx="5585460" cy="15240"/>
                <wp:effectExtent l="0" t="6350" r="7620" b="8890"/>
                <wp:wrapNone/>
                <wp:docPr id="5" name="直接连接符 5"/>
                <wp:cNvGraphicFramePr/>
                <a:graphic xmlns:a="http://schemas.openxmlformats.org/drawingml/2006/main">
                  <a:graphicData uri="http://schemas.microsoft.com/office/word/2010/wordprocessingShape">
                    <wps:wsp>
                      <wps:cNvCnPr/>
                      <wps:spPr>
                        <a:xfrm flipV="1">
                          <a:off x="1097915" y="8646795"/>
                          <a:ext cx="5585460" cy="15240"/>
                        </a:xfrm>
                        <a:prstGeom prst="line">
                          <a:avLst/>
                        </a:prstGeom>
                        <a:ln w="1270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5pt;margin-top:38.7pt;height:1.2pt;width:439.8pt;z-index:251660288;mso-width-relative:page;mso-height-relative:page;" filled="f" stroked="t" coordsize="21600,21600" o:gfxdata="UEsDBAoAAAAAAIdO4kAAAAAAAAAAAAAAAAAEAAAAZHJzL1BLAwQUAAAACACHTuJAbaNqZNcAAAAH&#10;AQAADwAAAGRycy9kb3ducmV2LnhtbE2PzU7DMBCE70i8g7VI3KiTAk0IcXrgR0JCEaJw6W0bL0lE&#10;vI5iNy1vz3Iqx50ZzXxbro9uUDNNofdsIF0koIgbb3tuDXx+PF/loEJEtjh4JgM/FGBdnZ+VWFh/&#10;4HeaN7FVUsKhQANdjGOhdWg6chgWfiQW78tPDqOcU6vthAcpd4NeJslKO+xZFjoc6aGj5nuzdwbm&#10;tOa3l6etf3zFur1Na7ttsmjM5UWa3IOKdIynMPzhCzpUwrTze7ZBDQau5ZNoIMtuQImd58sVqJ0I&#10;dznoqtT/+atfUEsDBBQAAAAIAIdO4kC7m/WA8QEAALUDAAAOAAAAZHJzL2Uyb0RvYy54bWytk7uO&#10;EzEUhnsk3sFyT2YSZXIZZbLFRkuDIBKX3vHYM5Z8k483k7wEL4BEBxUlPW/D8hgce8ICS7MFKSxf&#10;/vns/z8nm6uT0eQoAihnGzqdlJQIy12rbNfQt29unq0ogchsy7SzoqFnAfRq+/TJZvC1mLne6VYE&#10;ghAL9eAb2sfo66IA3gvDYOK8sHgoXTAs4jJ0RRvYgHSji1lZLorBhdYHxwUA7u7GQ3ohhscAnZSK&#10;i53jt0bYOFKD0CyiJeiVB7rNr5VS8PhKShCR6Iai05hHvATnhzQW2w2ru8B8r/jlCewxT3jgyTBl&#10;8dJ71I5FRm6D+gdlFA8OnIwT7kwxGsmJoItp+SCb1z3zInvBqMHfhw7/D8tfHveBqLahFSWWGSz4&#10;3Yev399/+vHtI453Xz6TKoU0eKhRe2334bICvw/J8UkGQ6RW/h12U84AXZETLsr1cj1F7Lmhq8V8&#10;sVxnEqvFKRKOgqpaVfMFVoKjYlrN5rkcxYhMaB8gPhfOkDRpqFY2pcFqdnwBEZ+B0l+StG3djdI6&#10;V1RbMiBztiwTnmGbSmwPnBqPVsF2lDDdYf/zGDISnFZt+jyBIHSHax3IkaWuyb+UAV73lyzdvWPQ&#10;j7p8dJFpi+oU2RhSmh1ce87Z5X2sZuZdOi+1y5/r/PXvf9v2J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2jamTXAAAABwEAAA8AAAAAAAAAAQAgAAAAIgAAAGRycy9kb3ducmV2LnhtbFBLAQIUABQA&#10;AAAIAIdO4kC7m/WA8QEAALUDAAAOAAAAAAAAAAEAIAAAACYBAABkcnMvZTJvRG9jLnhtbFBLBQYA&#10;AAAABgAGAFkBAACJBQAAAAA=&#10;">
                <v:fill on="f" focussize="0,0"/>
                <v:stroke weight="1pt" color="#000000 [3213]" joinstyle="round"/>
                <v:imagedata o:title=""/>
                <o:lock v:ext="edit" aspectratio="f"/>
              </v:line>
            </w:pict>
          </mc:Fallback>
        </mc:AlternateContent>
      </w:r>
    </w:p>
    <w:p w14:paraId="590B1B8A">
      <w:pPr>
        <w:pStyle w:val="32"/>
        <w:spacing w:before="0" w:beforeAutospacing="0" w:after="0" w:afterAutospacing="0" w:line="480" w:lineRule="auto"/>
        <w:ind w:firstLine="0" w:firstLineChars="0"/>
        <w:rPr>
          <w:rFonts w:ascii="仿宋_GB2312" w:hAnsi="Arial" w:eastAsia="仿宋_GB2312" w:cs="Arial"/>
          <w:color w:val="000000" w:themeColor="text1"/>
          <w:sz w:val="32"/>
          <w:szCs w:val="32"/>
          <w14:textFill>
            <w14:solidFill>
              <w14:schemeClr w14:val="tx1"/>
            </w14:solidFill>
          </w14:textFill>
        </w:rPr>
      </w:pPr>
      <w:r>
        <w:rPr>
          <w:color w:val="000000" w:themeColor="text1"/>
          <w:sz w:val="32"/>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11430</wp:posOffset>
                </wp:positionH>
                <wp:positionV relativeFrom="paragraph">
                  <wp:posOffset>306070</wp:posOffset>
                </wp:positionV>
                <wp:extent cx="5600700" cy="22860"/>
                <wp:effectExtent l="0" t="6350" r="7620" b="16510"/>
                <wp:wrapNone/>
                <wp:docPr id="6" name="直接连接符 6"/>
                <wp:cNvGraphicFramePr/>
                <a:graphic xmlns:a="http://schemas.openxmlformats.org/drawingml/2006/main">
                  <a:graphicData uri="http://schemas.microsoft.com/office/word/2010/wordprocessingShape">
                    <wps:wsp>
                      <wps:cNvCnPr/>
                      <wps:spPr>
                        <a:xfrm flipV="1">
                          <a:off x="1128395" y="9043035"/>
                          <a:ext cx="5600700" cy="22860"/>
                        </a:xfrm>
                        <a:prstGeom prst="line">
                          <a:avLst/>
                        </a:prstGeom>
                        <a:ln w="12700" cmpd="sng">
                          <a:solidFill>
                            <a:schemeClr val="tx1"/>
                          </a:solidFill>
                          <a:prstDash val="soli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9pt;margin-top:24.1pt;height:1.8pt;width:441pt;z-index:251661312;mso-width-relative:page;mso-height-relative:page;" filled="f" stroked="t" coordsize="21600,21600" o:gfxdata="UEsDBAoAAAAAAIdO4kAAAAAAAAAAAAAAAAAEAAAAZHJzL1BLAwQUAAAACACHTuJAQKLKGNQAAAAH&#10;AQAADwAAAGRycy9kb3ducmV2LnhtbE2OQUvDQBCF70L/wzIFb3aTajXEbHpoFQQJxeqlt2l2TILZ&#10;2ZDdpvXfO570+OZ7vPmK9cX1aqIxdJ4NpIsEFHHtbceNgY/355sMVIjIFnvPZOCbAqzL2VWBufVn&#10;fqNpHxslIxxyNNDGOORah7olh2HhB2Jhn350GCWOjbYjnmXc9XqZJPfaYcfyocWBNi3VX/uTMzCl&#10;Fe9eng5++4pVs0ore6gfojHX8zR5BBXpEv/K8Ksv6lCK09Gf2AbVSxbxaOAuW4ISnGW3cjgaWAnQ&#10;ZaH/+5c/UEsDBBQAAAAIAIdO4kAUH/tT8AEAALUDAAAOAAAAZHJzL2Uyb0RvYy54bWytU82O0zAQ&#10;viPxDpbvNGlKSzdquoetlguCSvzcXcdOLPlPHm/TvgQvgMQNThy58zYsj8HYCQsslz2Qg+WxP38z&#10;3zeTzeXJaHIUAZSzDZ3PSkqE5a5Vtmvo2zfXT9aUQGS2ZdpZ0dCzAHq5ffxoM/haVK53uhWBIImF&#10;evAN7WP0dVEA74VhMHNeWLyULhgWMQxd0QY2ILvRRVWWq2JwofXBcQGAp7vxkk6M4SGETkrFxc7x&#10;GyNsHFmD0CyiJOiVB7rN1UopeHwlJYhIdENRacwrJsH9Ia3FdsPqLjDfKz6VwB5Swj1NhimLSe+o&#10;diwychPUP1RG8eDAyTjjzhSjkOwIqpiX97x53TMvsha0Gvyd6fD/aPnL4z4Q1TZ0RYllBht+++Hr&#10;9/effnz7iOvtl89klUwaPNSIvbL7MEXg9yEpPslgiNTKv8Npyh6gKnLCYF6tFxdLSs4NvSifLsrF&#10;crRbnCLhCFiuyvJZiZ3giKiq9Sq3oxgpE7UPEJ8LZ0jaNFQrm9xgNTu+gIhlIPQXJB1bd620zh3V&#10;lgxYQTXSMxxTieOBmYxHqWA7SpjucP55DJkSnFZtep6IIHSHKx3IkaWpyV+qHNP9BUu5dwz6EZev&#10;Jpi2iE6WjSal3cG15+xdPsduZr5p8tK4/Bnn17//tu1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QKLKGNQAAAAHAQAADwAAAAAAAAABACAAAAAiAAAAZHJzL2Rvd25yZXYueG1sUEsBAhQAFAAAAAgA&#10;h07iQBQf+1PwAQAAtQMAAA4AAAAAAAAAAQAgAAAAIwEAAGRycy9lMm9Eb2MueG1sUEsFBgAAAAAG&#10;AAYAWQEAAIUFAAAAAA==&#10;">
                <v:fill on="f" focussize="0,0"/>
                <v:stroke weight="1pt" color="#000000 [3213]" joinstyle="round"/>
                <v:imagedata o:title=""/>
                <o:lock v:ext="edit" aspectratio="f"/>
              </v:line>
            </w:pict>
          </mc:Fallback>
        </mc:AlternateContent>
      </w:r>
      <w:r>
        <w:rPr>
          <w:rFonts w:hint="eastAsia" w:ascii="仿宋_GB2312" w:hAnsi="Arial" w:eastAsia="仿宋_GB2312" w:cs="Arial"/>
          <w:color w:val="000000" w:themeColor="text1"/>
          <w:sz w:val="32"/>
          <w:szCs w:val="32"/>
          <w14:textFill>
            <w14:solidFill>
              <w14:schemeClr w14:val="tx1"/>
            </w14:solidFill>
          </w14:textFill>
        </w:rPr>
        <w:t>渑池县十五届人大六次会议秘书处        2025年2月</w:t>
      </w:r>
      <w:r>
        <w:rPr>
          <w:rFonts w:hint="eastAsia" w:ascii="仿宋_GB2312" w:hAnsi="Arial" w:eastAsia="仿宋_GB2312" w:cs="Arial"/>
          <w:color w:val="000000" w:themeColor="text1"/>
          <w:sz w:val="32"/>
          <w:szCs w:val="32"/>
          <w:lang w:val="en-US" w:eastAsia="zh-CN"/>
          <w14:textFill>
            <w14:solidFill>
              <w14:schemeClr w14:val="tx1"/>
            </w14:solidFill>
          </w14:textFill>
        </w:rPr>
        <w:t>26</w:t>
      </w:r>
      <w:r>
        <w:rPr>
          <w:rFonts w:hint="eastAsia" w:ascii="仿宋_GB2312" w:hAnsi="Arial" w:eastAsia="仿宋_GB2312" w:cs="Arial"/>
          <w:color w:val="000000" w:themeColor="text1"/>
          <w:sz w:val="32"/>
          <w:szCs w:val="32"/>
          <w14:textFill>
            <w14:solidFill>
              <w14:schemeClr w14:val="tx1"/>
            </w14:solidFill>
          </w14:textFill>
        </w:rPr>
        <w:t>日印</w:t>
      </w:r>
    </w:p>
    <w:p w14:paraId="79B753A2">
      <w:pPr>
        <w:ind w:firstLine="6720" w:firstLineChars="2100"/>
        <w:rPr>
          <w:rFonts w:ascii="仿宋_GB2312" w:hAnsi="Times New Roman" w:eastAsia="仿宋_GB2312"/>
          <w:snapToGrid/>
          <w:kern w:val="2"/>
          <w:szCs w:val="32"/>
        </w:rPr>
      </w:pPr>
      <w:r>
        <w:rPr>
          <w:rFonts w:hint="eastAsia" w:ascii="仿宋_GB2312" w:hAnsi="Arial" w:eastAsia="仿宋_GB2312" w:cs="Arial"/>
          <w:szCs w:val="32"/>
        </w:rPr>
        <w:t>（共印500份）</w:t>
      </w:r>
    </w:p>
    <w:sectPr>
      <w:footerReference r:id="rId7" w:type="default"/>
      <w:pgSz w:w="11906" w:h="16838"/>
      <w:pgMar w:top="2211" w:right="1531" w:bottom="1871" w:left="1531" w:header="851" w:footer="805" w:gutter="0"/>
      <w:cols w:space="0" w:num="1"/>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37DEB259-04C2-489A-BE90-8E045299CD14}"/>
  </w:font>
  <w:font w:name="黑体">
    <w:panose1 w:val="02010609060101010101"/>
    <w:charset w:val="86"/>
    <w:family w:val="auto"/>
    <w:pitch w:val="default"/>
    <w:sig w:usb0="800002BF" w:usb1="38CF7CFA" w:usb2="00000016" w:usb3="00000000" w:csb0="00040001" w:csb1="00000000"/>
    <w:embedRegular r:id="rId2" w:fontKey="{236EF473-6205-46C8-A1B7-5A6D951A75F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3" w:fontKey="{4CFA8720-9615-4D01-9804-86FA1E04867E}"/>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embedRegular r:id="rId4" w:fontKey="{2FBA9222-64DA-42B9-80C6-1719A7F61C23}"/>
  </w:font>
  <w:font w:name="NEU-BZ">
    <w:altName w:val="宋体"/>
    <w:panose1 w:val="00000000000000000000"/>
    <w:charset w:val="86"/>
    <w:family w:val="script"/>
    <w:pitch w:val="default"/>
    <w:sig w:usb0="00000000" w:usb1="00000000" w:usb2="000A005E" w:usb3="00000000" w:csb0="003C0041" w:csb1="00000000"/>
  </w:font>
  <w:font w:name="方正小标宋简体">
    <w:panose1 w:val="02000000000000000000"/>
    <w:charset w:val="86"/>
    <w:family w:val="auto"/>
    <w:pitch w:val="default"/>
    <w:sig w:usb0="A00002BF" w:usb1="184F6CFA" w:usb2="00000012" w:usb3="00000000" w:csb0="00040001" w:csb1="00000000"/>
    <w:embedRegular r:id="rId5" w:fontKey="{64BB4618-A4B8-4955-93D4-631B33B5590A}"/>
  </w:font>
  <w:font w:name="仿宋_GB2312">
    <w:panose1 w:val="02010609030101010101"/>
    <w:charset w:val="86"/>
    <w:family w:val="modern"/>
    <w:pitch w:val="default"/>
    <w:sig w:usb0="00000001" w:usb1="080E0000" w:usb2="00000000" w:usb3="00000000" w:csb0="00040000" w:csb1="00000000"/>
    <w:embedRegular r:id="rId6" w:fontKey="{E4A29EB7-6877-4296-945D-E9DEA4141993}"/>
  </w:font>
  <w:font w:name="楷体">
    <w:panose1 w:val="02010609060101010101"/>
    <w:charset w:val="86"/>
    <w:family w:val="modern"/>
    <w:pitch w:val="default"/>
    <w:sig w:usb0="800002BF" w:usb1="38CF7CFA" w:usb2="00000016" w:usb3="00000000" w:csb0="00040001" w:csb1="00000000"/>
    <w:embedRegular r:id="rId7" w:fontKey="{83242E63-A221-4A77-B58B-70335BDAC23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93BE41">
    <w:pPr>
      <w:pStyle w:val="8"/>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A2E805">
                          <w:pPr>
                            <w:pStyle w:val="8"/>
                            <w:ind w:firstLine="480"/>
                            <w:rPr>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BA2E805">
                    <w:pPr>
                      <w:pStyle w:val="8"/>
                      <w:ind w:firstLine="480"/>
                      <w:rPr>
                        <w:sz w:val="24"/>
                        <w:szCs w:val="24"/>
                      </w:rP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7CA8D">
    <w:pPr>
      <w:pStyle w:val="8"/>
      <w:ind w:firstLine="360"/>
      <w:jc w:val="center"/>
    </w:pP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  \* MERGEFORMAT </w:instrText>
    </w:r>
    <w:r>
      <w:rPr>
        <w:rFonts w:hint="eastAsia" w:ascii="仿宋_GB2312" w:hAnsi="仿宋_GB2312" w:eastAsia="仿宋_GB2312" w:cs="仿宋_GB2312"/>
        <w:sz w:val="24"/>
        <w:szCs w:val="24"/>
      </w:rPr>
      <w:fldChar w:fldCharType="separate"/>
    </w:r>
    <w:r>
      <w:rPr>
        <w:rFonts w:ascii="仿宋_GB2312" w:hAnsi="仿宋_GB2312" w:eastAsia="仿宋_GB2312" w:cs="仿宋_GB2312"/>
        <w:sz w:val="24"/>
        <w:szCs w:val="24"/>
      </w:rPr>
      <w:t>1</w:t>
    </w:r>
    <w:r>
      <w:rPr>
        <w:rFonts w:hint="eastAsia" w:ascii="仿宋_GB2312" w:hAnsi="仿宋_GB2312" w:eastAsia="仿宋_GB2312" w:cs="仿宋_GB2312"/>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40"/>
      </w:pPr>
      <w:r>
        <w:separator/>
      </w:r>
    </w:p>
  </w:footnote>
  <w:footnote w:type="continuationSeparator" w:id="1">
    <w:p>
      <w:pPr>
        <w:spacing w:line="36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CE4F8">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225"/>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2Yjg3MWU1NWYyNjA1MzM2ZGM3NWJmNDE0MmRkNDYifQ=="/>
  </w:docVars>
  <w:rsids>
    <w:rsidRoot w:val="008C5E80"/>
    <w:rsid w:val="00003390"/>
    <w:rsid w:val="00015692"/>
    <w:rsid w:val="00024FC9"/>
    <w:rsid w:val="000513DC"/>
    <w:rsid w:val="00065A14"/>
    <w:rsid w:val="00091537"/>
    <w:rsid w:val="00092936"/>
    <w:rsid w:val="00094252"/>
    <w:rsid w:val="000B3743"/>
    <w:rsid w:val="000B5B1F"/>
    <w:rsid w:val="000C180B"/>
    <w:rsid w:val="000D3B92"/>
    <w:rsid w:val="000E1A54"/>
    <w:rsid w:val="00102314"/>
    <w:rsid w:val="0010464F"/>
    <w:rsid w:val="0011214A"/>
    <w:rsid w:val="001419EF"/>
    <w:rsid w:val="001426EE"/>
    <w:rsid w:val="00150958"/>
    <w:rsid w:val="00157D19"/>
    <w:rsid w:val="00161C25"/>
    <w:rsid w:val="0016460F"/>
    <w:rsid w:val="00175006"/>
    <w:rsid w:val="001B7752"/>
    <w:rsid w:val="001D1901"/>
    <w:rsid w:val="001D74F9"/>
    <w:rsid w:val="001E4619"/>
    <w:rsid w:val="00217B5A"/>
    <w:rsid w:val="00227FEA"/>
    <w:rsid w:val="00246B63"/>
    <w:rsid w:val="00247D96"/>
    <w:rsid w:val="002530D4"/>
    <w:rsid w:val="0026583B"/>
    <w:rsid w:val="00270C2B"/>
    <w:rsid w:val="00274021"/>
    <w:rsid w:val="002801F1"/>
    <w:rsid w:val="00283070"/>
    <w:rsid w:val="002A1C5C"/>
    <w:rsid w:val="002B1E1D"/>
    <w:rsid w:val="002D687D"/>
    <w:rsid w:val="002D7666"/>
    <w:rsid w:val="002E1758"/>
    <w:rsid w:val="002E38A0"/>
    <w:rsid w:val="002E4BAB"/>
    <w:rsid w:val="002F4953"/>
    <w:rsid w:val="00305D1C"/>
    <w:rsid w:val="0031295E"/>
    <w:rsid w:val="00312B08"/>
    <w:rsid w:val="0031315D"/>
    <w:rsid w:val="00316ADB"/>
    <w:rsid w:val="00334DAA"/>
    <w:rsid w:val="00341C5D"/>
    <w:rsid w:val="00351526"/>
    <w:rsid w:val="0036201D"/>
    <w:rsid w:val="00396C1E"/>
    <w:rsid w:val="003D1ACA"/>
    <w:rsid w:val="003F4023"/>
    <w:rsid w:val="003F4ED2"/>
    <w:rsid w:val="003F6E65"/>
    <w:rsid w:val="00420CA1"/>
    <w:rsid w:val="00424BB1"/>
    <w:rsid w:val="00445EBA"/>
    <w:rsid w:val="004526A9"/>
    <w:rsid w:val="0046654D"/>
    <w:rsid w:val="004708CE"/>
    <w:rsid w:val="00475C32"/>
    <w:rsid w:val="004761F7"/>
    <w:rsid w:val="0047716D"/>
    <w:rsid w:val="004773DB"/>
    <w:rsid w:val="00481B75"/>
    <w:rsid w:val="00486A03"/>
    <w:rsid w:val="00495052"/>
    <w:rsid w:val="004A15F4"/>
    <w:rsid w:val="004A2940"/>
    <w:rsid w:val="004B244E"/>
    <w:rsid w:val="004C5029"/>
    <w:rsid w:val="004D0011"/>
    <w:rsid w:val="004F6AEF"/>
    <w:rsid w:val="00512490"/>
    <w:rsid w:val="00512632"/>
    <w:rsid w:val="00515F23"/>
    <w:rsid w:val="00516BC1"/>
    <w:rsid w:val="00544D9E"/>
    <w:rsid w:val="00553EC6"/>
    <w:rsid w:val="0055778D"/>
    <w:rsid w:val="00557F31"/>
    <w:rsid w:val="005741D0"/>
    <w:rsid w:val="00582C17"/>
    <w:rsid w:val="0058317C"/>
    <w:rsid w:val="005851CF"/>
    <w:rsid w:val="005872AF"/>
    <w:rsid w:val="00591DA9"/>
    <w:rsid w:val="005A6B4A"/>
    <w:rsid w:val="005D2F0F"/>
    <w:rsid w:val="005D3546"/>
    <w:rsid w:val="005E0635"/>
    <w:rsid w:val="005E5660"/>
    <w:rsid w:val="005F0BD9"/>
    <w:rsid w:val="005F7461"/>
    <w:rsid w:val="00612D04"/>
    <w:rsid w:val="00614114"/>
    <w:rsid w:val="00620D73"/>
    <w:rsid w:val="00652774"/>
    <w:rsid w:val="0065563C"/>
    <w:rsid w:val="0066008B"/>
    <w:rsid w:val="006841F8"/>
    <w:rsid w:val="006C02B1"/>
    <w:rsid w:val="006D3E4C"/>
    <w:rsid w:val="006E24AD"/>
    <w:rsid w:val="006E6BE3"/>
    <w:rsid w:val="0072037E"/>
    <w:rsid w:val="00720D7A"/>
    <w:rsid w:val="007447A0"/>
    <w:rsid w:val="00752251"/>
    <w:rsid w:val="007718D5"/>
    <w:rsid w:val="00776378"/>
    <w:rsid w:val="0077684B"/>
    <w:rsid w:val="007A431B"/>
    <w:rsid w:val="007B2066"/>
    <w:rsid w:val="00802E34"/>
    <w:rsid w:val="00815E88"/>
    <w:rsid w:val="00824CE1"/>
    <w:rsid w:val="00834E16"/>
    <w:rsid w:val="00836548"/>
    <w:rsid w:val="008441E4"/>
    <w:rsid w:val="008530E0"/>
    <w:rsid w:val="00872893"/>
    <w:rsid w:val="00891B58"/>
    <w:rsid w:val="00895863"/>
    <w:rsid w:val="00896B56"/>
    <w:rsid w:val="008A5185"/>
    <w:rsid w:val="008C5E80"/>
    <w:rsid w:val="008C5FAC"/>
    <w:rsid w:val="008E2BDE"/>
    <w:rsid w:val="008E3A74"/>
    <w:rsid w:val="008F47C6"/>
    <w:rsid w:val="00913094"/>
    <w:rsid w:val="00923397"/>
    <w:rsid w:val="009300E6"/>
    <w:rsid w:val="00930FF9"/>
    <w:rsid w:val="00941F06"/>
    <w:rsid w:val="00955B2D"/>
    <w:rsid w:val="0097200D"/>
    <w:rsid w:val="00974138"/>
    <w:rsid w:val="00974F1E"/>
    <w:rsid w:val="00982FED"/>
    <w:rsid w:val="0098360D"/>
    <w:rsid w:val="00991D98"/>
    <w:rsid w:val="009A15D4"/>
    <w:rsid w:val="009A290B"/>
    <w:rsid w:val="009C7B39"/>
    <w:rsid w:val="009D0DD2"/>
    <w:rsid w:val="009D283E"/>
    <w:rsid w:val="009E2482"/>
    <w:rsid w:val="009F205C"/>
    <w:rsid w:val="009F77CC"/>
    <w:rsid w:val="00A0067B"/>
    <w:rsid w:val="00A01C96"/>
    <w:rsid w:val="00A06EA3"/>
    <w:rsid w:val="00A1387E"/>
    <w:rsid w:val="00A15663"/>
    <w:rsid w:val="00A22948"/>
    <w:rsid w:val="00A22B91"/>
    <w:rsid w:val="00A350C6"/>
    <w:rsid w:val="00A45FC4"/>
    <w:rsid w:val="00A518C5"/>
    <w:rsid w:val="00A62D83"/>
    <w:rsid w:val="00A66400"/>
    <w:rsid w:val="00A67F20"/>
    <w:rsid w:val="00A76EFB"/>
    <w:rsid w:val="00A92B31"/>
    <w:rsid w:val="00AA2C75"/>
    <w:rsid w:val="00AB26E3"/>
    <w:rsid w:val="00AC42D0"/>
    <w:rsid w:val="00AC5235"/>
    <w:rsid w:val="00AD3D02"/>
    <w:rsid w:val="00AD6310"/>
    <w:rsid w:val="00B00145"/>
    <w:rsid w:val="00B057A1"/>
    <w:rsid w:val="00B12A45"/>
    <w:rsid w:val="00B33727"/>
    <w:rsid w:val="00B353E4"/>
    <w:rsid w:val="00B40A92"/>
    <w:rsid w:val="00B506DA"/>
    <w:rsid w:val="00B80D37"/>
    <w:rsid w:val="00BA1CD4"/>
    <w:rsid w:val="00BA6B28"/>
    <w:rsid w:val="00BB39FE"/>
    <w:rsid w:val="00BC4C8C"/>
    <w:rsid w:val="00BC537C"/>
    <w:rsid w:val="00BC66BA"/>
    <w:rsid w:val="00BC7EC6"/>
    <w:rsid w:val="00BE20D1"/>
    <w:rsid w:val="00BF1502"/>
    <w:rsid w:val="00BF2087"/>
    <w:rsid w:val="00BF65FC"/>
    <w:rsid w:val="00C03B12"/>
    <w:rsid w:val="00C04BF2"/>
    <w:rsid w:val="00C06D8A"/>
    <w:rsid w:val="00C10753"/>
    <w:rsid w:val="00C1547D"/>
    <w:rsid w:val="00C16EBE"/>
    <w:rsid w:val="00C23A77"/>
    <w:rsid w:val="00C30A32"/>
    <w:rsid w:val="00C33A10"/>
    <w:rsid w:val="00C55E41"/>
    <w:rsid w:val="00C7667E"/>
    <w:rsid w:val="00C82182"/>
    <w:rsid w:val="00C83479"/>
    <w:rsid w:val="00C87B42"/>
    <w:rsid w:val="00CA300E"/>
    <w:rsid w:val="00CB2D7C"/>
    <w:rsid w:val="00CB6B59"/>
    <w:rsid w:val="00CC7AB3"/>
    <w:rsid w:val="00CD543D"/>
    <w:rsid w:val="00D033D7"/>
    <w:rsid w:val="00D04E95"/>
    <w:rsid w:val="00D16404"/>
    <w:rsid w:val="00D23F11"/>
    <w:rsid w:val="00D34338"/>
    <w:rsid w:val="00D47A7E"/>
    <w:rsid w:val="00D77DE1"/>
    <w:rsid w:val="00D93E15"/>
    <w:rsid w:val="00D96A7C"/>
    <w:rsid w:val="00DB5753"/>
    <w:rsid w:val="00DB7B56"/>
    <w:rsid w:val="00DC3DDD"/>
    <w:rsid w:val="00DD30D2"/>
    <w:rsid w:val="00DD3BF6"/>
    <w:rsid w:val="00DF0AD9"/>
    <w:rsid w:val="00E001B3"/>
    <w:rsid w:val="00E00334"/>
    <w:rsid w:val="00E11532"/>
    <w:rsid w:val="00E15466"/>
    <w:rsid w:val="00E22C4D"/>
    <w:rsid w:val="00E3032E"/>
    <w:rsid w:val="00E33364"/>
    <w:rsid w:val="00E477B4"/>
    <w:rsid w:val="00E607A2"/>
    <w:rsid w:val="00E66983"/>
    <w:rsid w:val="00E713C2"/>
    <w:rsid w:val="00E72A85"/>
    <w:rsid w:val="00E73919"/>
    <w:rsid w:val="00E770CC"/>
    <w:rsid w:val="00E85BB2"/>
    <w:rsid w:val="00E85BC6"/>
    <w:rsid w:val="00E86DE3"/>
    <w:rsid w:val="00EC12AA"/>
    <w:rsid w:val="00EC4ADD"/>
    <w:rsid w:val="00ED081D"/>
    <w:rsid w:val="00ED55E7"/>
    <w:rsid w:val="00EE19D8"/>
    <w:rsid w:val="00EE33EA"/>
    <w:rsid w:val="00EE5FFB"/>
    <w:rsid w:val="00EF13F4"/>
    <w:rsid w:val="00EF347B"/>
    <w:rsid w:val="00F01B90"/>
    <w:rsid w:val="00F0206A"/>
    <w:rsid w:val="00F0320C"/>
    <w:rsid w:val="00F16410"/>
    <w:rsid w:val="00F20C22"/>
    <w:rsid w:val="00F23F53"/>
    <w:rsid w:val="00F3471C"/>
    <w:rsid w:val="00F41E9B"/>
    <w:rsid w:val="00F45F62"/>
    <w:rsid w:val="00F75873"/>
    <w:rsid w:val="00F82C55"/>
    <w:rsid w:val="00F83B0D"/>
    <w:rsid w:val="00F96E62"/>
    <w:rsid w:val="00FB3107"/>
    <w:rsid w:val="00FC5F53"/>
    <w:rsid w:val="00FC700E"/>
    <w:rsid w:val="00FE013D"/>
    <w:rsid w:val="00FE46AF"/>
    <w:rsid w:val="00FF1A36"/>
    <w:rsid w:val="0107037D"/>
    <w:rsid w:val="0160084E"/>
    <w:rsid w:val="054C5847"/>
    <w:rsid w:val="08253C58"/>
    <w:rsid w:val="09860131"/>
    <w:rsid w:val="09A711C5"/>
    <w:rsid w:val="0B6B246E"/>
    <w:rsid w:val="0B82550B"/>
    <w:rsid w:val="0CC33C02"/>
    <w:rsid w:val="0EA40B7E"/>
    <w:rsid w:val="0F2D66F3"/>
    <w:rsid w:val="0FA61A58"/>
    <w:rsid w:val="107E2A9F"/>
    <w:rsid w:val="124C536B"/>
    <w:rsid w:val="13113373"/>
    <w:rsid w:val="1437607B"/>
    <w:rsid w:val="14821692"/>
    <w:rsid w:val="14D67C33"/>
    <w:rsid w:val="164C504F"/>
    <w:rsid w:val="16A2202B"/>
    <w:rsid w:val="17846C20"/>
    <w:rsid w:val="17906B34"/>
    <w:rsid w:val="18880EA9"/>
    <w:rsid w:val="189A1996"/>
    <w:rsid w:val="195902E6"/>
    <w:rsid w:val="1A522712"/>
    <w:rsid w:val="1AE2513E"/>
    <w:rsid w:val="1B645ABB"/>
    <w:rsid w:val="1C3B1844"/>
    <w:rsid w:val="1C892130"/>
    <w:rsid w:val="1CF810EA"/>
    <w:rsid w:val="1DA16CA3"/>
    <w:rsid w:val="1DC767A9"/>
    <w:rsid w:val="1DD833D9"/>
    <w:rsid w:val="1E113D1A"/>
    <w:rsid w:val="20B35BC4"/>
    <w:rsid w:val="21705738"/>
    <w:rsid w:val="219B58FA"/>
    <w:rsid w:val="22ED1FDA"/>
    <w:rsid w:val="23B968F8"/>
    <w:rsid w:val="24FF07E2"/>
    <w:rsid w:val="2740749C"/>
    <w:rsid w:val="27C13545"/>
    <w:rsid w:val="283871CA"/>
    <w:rsid w:val="2A243407"/>
    <w:rsid w:val="2A4646A4"/>
    <w:rsid w:val="2BE51C33"/>
    <w:rsid w:val="2BFB00C6"/>
    <w:rsid w:val="2E9720FC"/>
    <w:rsid w:val="2F3D60AA"/>
    <w:rsid w:val="2F6A0E1E"/>
    <w:rsid w:val="305331A8"/>
    <w:rsid w:val="30E537BF"/>
    <w:rsid w:val="31302BFB"/>
    <w:rsid w:val="319C46DB"/>
    <w:rsid w:val="33C37DD5"/>
    <w:rsid w:val="33F8655C"/>
    <w:rsid w:val="33FE505F"/>
    <w:rsid w:val="34617850"/>
    <w:rsid w:val="35D95EFE"/>
    <w:rsid w:val="368D75D6"/>
    <w:rsid w:val="37A20571"/>
    <w:rsid w:val="38F86DE3"/>
    <w:rsid w:val="399237B9"/>
    <w:rsid w:val="3B602C1D"/>
    <w:rsid w:val="3C157C41"/>
    <w:rsid w:val="3E3B17BE"/>
    <w:rsid w:val="3E993D51"/>
    <w:rsid w:val="3F072F2F"/>
    <w:rsid w:val="3F106653"/>
    <w:rsid w:val="3F656FEF"/>
    <w:rsid w:val="3F7B299D"/>
    <w:rsid w:val="3FC73481"/>
    <w:rsid w:val="3FE53BDC"/>
    <w:rsid w:val="41083BD9"/>
    <w:rsid w:val="42601E1D"/>
    <w:rsid w:val="44520E34"/>
    <w:rsid w:val="4551169B"/>
    <w:rsid w:val="458A1E66"/>
    <w:rsid w:val="46206CE3"/>
    <w:rsid w:val="465A6AEF"/>
    <w:rsid w:val="47F210A1"/>
    <w:rsid w:val="48141AFE"/>
    <w:rsid w:val="48190A07"/>
    <w:rsid w:val="489C505F"/>
    <w:rsid w:val="49806FD7"/>
    <w:rsid w:val="4AAE05BB"/>
    <w:rsid w:val="4AF84370"/>
    <w:rsid w:val="4B1B2807"/>
    <w:rsid w:val="4C6A16C4"/>
    <w:rsid w:val="4E272B42"/>
    <w:rsid w:val="4E2D0D7F"/>
    <w:rsid w:val="4EDD3759"/>
    <w:rsid w:val="4F253B0A"/>
    <w:rsid w:val="4F7F3244"/>
    <w:rsid w:val="4FAC7D3A"/>
    <w:rsid w:val="51516DD0"/>
    <w:rsid w:val="518A632F"/>
    <w:rsid w:val="51B10BB2"/>
    <w:rsid w:val="52605BD6"/>
    <w:rsid w:val="526163C5"/>
    <w:rsid w:val="52CE1D24"/>
    <w:rsid w:val="52D61136"/>
    <w:rsid w:val="535F4220"/>
    <w:rsid w:val="536807A0"/>
    <w:rsid w:val="53722D01"/>
    <w:rsid w:val="54CB1B2E"/>
    <w:rsid w:val="552B73F6"/>
    <w:rsid w:val="5550374F"/>
    <w:rsid w:val="555111B5"/>
    <w:rsid w:val="566566FE"/>
    <w:rsid w:val="57D375BB"/>
    <w:rsid w:val="581E561D"/>
    <w:rsid w:val="58643B01"/>
    <w:rsid w:val="586D207D"/>
    <w:rsid w:val="589F66DB"/>
    <w:rsid w:val="58F64AA9"/>
    <w:rsid w:val="595B196B"/>
    <w:rsid w:val="59AE0306"/>
    <w:rsid w:val="5A663EB6"/>
    <w:rsid w:val="5AB930D0"/>
    <w:rsid w:val="5C473048"/>
    <w:rsid w:val="5CD6047A"/>
    <w:rsid w:val="5CEC40CB"/>
    <w:rsid w:val="5D58481A"/>
    <w:rsid w:val="5D8D5A2D"/>
    <w:rsid w:val="5DD84FDF"/>
    <w:rsid w:val="5E866A89"/>
    <w:rsid w:val="5F7006C6"/>
    <w:rsid w:val="612F0700"/>
    <w:rsid w:val="61B739FF"/>
    <w:rsid w:val="633F4D43"/>
    <w:rsid w:val="63DF2869"/>
    <w:rsid w:val="64C76BB0"/>
    <w:rsid w:val="65901886"/>
    <w:rsid w:val="673D343E"/>
    <w:rsid w:val="68B275B9"/>
    <w:rsid w:val="696F50E8"/>
    <w:rsid w:val="69BD10B7"/>
    <w:rsid w:val="6ADA2B94"/>
    <w:rsid w:val="6BC54760"/>
    <w:rsid w:val="6C0150DC"/>
    <w:rsid w:val="6C427652"/>
    <w:rsid w:val="6E3D7835"/>
    <w:rsid w:val="6FD53C5C"/>
    <w:rsid w:val="73636FEB"/>
    <w:rsid w:val="739A25F8"/>
    <w:rsid w:val="73A925B8"/>
    <w:rsid w:val="74732A9E"/>
    <w:rsid w:val="75615B95"/>
    <w:rsid w:val="75CB620D"/>
    <w:rsid w:val="76E25CB9"/>
    <w:rsid w:val="77550319"/>
    <w:rsid w:val="77C90F43"/>
    <w:rsid w:val="79221F34"/>
    <w:rsid w:val="79394A97"/>
    <w:rsid w:val="79743A92"/>
    <w:rsid w:val="79FF25A5"/>
    <w:rsid w:val="7A1671BE"/>
    <w:rsid w:val="7A3750D5"/>
    <w:rsid w:val="7A9E572A"/>
    <w:rsid w:val="7B1F062A"/>
    <w:rsid w:val="7B744F44"/>
    <w:rsid w:val="7C987A45"/>
    <w:rsid w:val="7D0F532E"/>
    <w:rsid w:val="7DBD6776"/>
    <w:rsid w:val="7E0C3039"/>
    <w:rsid w:val="7E0F7323"/>
    <w:rsid w:val="7E3A28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qFormat="1" w:uiPriority="99"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360" w:lineRule="auto"/>
      <w:ind w:firstLine="720" w:firstLineChars="200"/>
      <w:jc w:val="both"/>
    </w:pPr>
    <w:rPr>
      <w:rFonts w:ascii="Calibri" w:hAnsi="Calibri" w:eastAsia="仿宋" w:cs="Times New Roman"/>
      <w:snapToGrid w:val="0"/>
      <w:sz w:val="32"/>
      <w:szCs w:val="22"/>
      <w:lang w:val="en-US" w:eastAsia="zh-CN" w:bidi="ar-SA"/>
    </w:rPr>
  </w:style>
  <w:style w:type="paragraph" w:styleId="4">
    <w:name w:val="heading 1"/>
    <w:basedOn w:val="1"/>
    <w:next w:val="1"/>
    <w:link w:val="27"/>
    <w:autoRedefine/>
    <w:qFormat/>
    <w:uiPriority w:val="0"/>
    <w:pPr>
      <w:keepNext/>
      <w:keepLines/>
      <w:spacing w:before="340" w:after="330" w:line="578" w:lineRule="auto"/>
      <w:outlineLvl w:val="0"/>
    </w:pPr>
    <w:rPr>
      <w:b/>
      <w:bCs/>
      <w:kern w:val="44"/>
      <w:sz w:val="44"/>
      <w:szCs w:val="44"/>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autoRedefine/>
    <w:unhideWhenUsed/>
    <w:qFormat/>
    <w:uiPriority w:val="99"/>
    <w:pPr>
      <w:ind w:firstLine="420" w:firstLineChars="100"/>
    </w:pPr>
  </w:style>
  <w:style w:type="paragraph" w:styleId="3">
    <w:name w:val="Body Text"/>
    <w:basedOn w:val="1"/>
    <w:next w:val="1"/>
    <w:autoRedefine/>
    <w:qFormat/>
    <w:uiPriority w:val="0"/>
    <w:pPr>
      <w:spacing w:after="120"/>
    </w:pPr>
  </w:style>
  <w:style w:type="paragraph" w:styleId="5">
    <w:name w:val="Normal Indent"/>
    <w:basedOn w:val="1"/>
    <w:next w:val="1"/>
    <w:autoRedefine/>
    <w:unhideWhenUsed/>
    <w:qFormat/>
    <w:uiPriority w:val="99"/>
    <w:pPr>
      <w:ind w:firstLine="420"/>
    </w:pPr>
  </w:style>
  <w:style w:type="paragraph" w:styleId="6">
    <w:name w:val="Body Text Indent"/>
    <w:basedOn w:val="1"/>
    <w:next w:val="5"/>
    <w:autoRedefine/>
    <w:qFormat/>
    <w:uiPriority w:val="0"/>
    <w:pPr>
      <w:tabs>
        <w:tab w:val="left" w:pos="8820"/>
      </w:tabs>
      <w:ind w:firstLine="641"/>
    </w:pPr>
    <w:rPr>
      <w:rFonts w:ascii="??_GB2312" w:eastAsia="Times New Roman"/>
      <w:b/>
      <w:bCs/>
      <w:szCs w:val="20"/>
    </w:rPr>
  </w:style>
  <w:style w:type="paragraph" w:styleId="7">
    <w:name w:val="Balloon Text"/>
    <w:basedOn w:val="1"/>
    <w:link w:val="28"/>
    <w:autoRedefine/>
    <w:semiHidden/>
    <w:unhideWhenUsed/>
    <w:qFormat/>
    <w:uiPriority w:val="99"/>
    <w:pPr>
      <w:spacing w:line="240" w:lineRule="auto"/>
    </w:pPr>
    <w:rPr>
      <w:sz w:val="18"/>
      <w:szCs w:val="18"/>
    </w:rPr>
  </w:style>
  <w:style w:type="paragraph" w:styleId="8">
    <w:name w:val="footer"/>
    <w:basedOn w:val="1"/>
    <w:link w:val="24"/>
    <w:autoRedefine/>
    <w:unhideWhenUsed/>
    <w:qFormat/>
    <w:uiPriority w:val="99"/>
    <w:pPr>
      <w:tabs>
        <w:tab w:val="center" w:pos="4153"/>
        <w:tab w:val="right" w:pos="8306"/>
      </w:tabs>
      <w:spacing w:line="240" w:lineRule="auto"/>
      <w:jc w:val="left"/>
    </w:pPr>
    <w:rPr>
      <w:sz w:val="18"/>
      <w:szCs w:val="18"/>
    </w:rPr>
  </w:style>
  <w:style w:type="paragraph" w:styleId="9">
    <w:name w:val="header"/>
    <w:basedOn w:val="1"/>
    <w:link w:val="23"/>
    <w:autoRedefine/>
    <w:unhideWhenUsed/>
    <w:qFormat/>
    <w:uiPriority w:val="99"/>
    <w:pPr>
      <w:pBdr>
        <w:bottom w:val="single" w:color="auto" w:sz="6" w:space="1"/>
      </w:pBdr>
      <w:tabs>
        <w:tab w:val="center" w:pos="4153"/>
        <w:tab w:val="right" w:pos="8306"/>
      </w:tabs>
      <w:spacing w:line="240" w:lineRule="auto"/>
      <w:jc w:val="center"/>
    </w:pPr>
    <w:rPr>
      <w:sz w:val="18"/>
      <w:szCs w:val="18"/>
    </w:rPr>
  </w:style>
  <w:style w:type="paragraph" w:styleId="10">
    <w:name w:val="Body Text 2"/>
    <w:basedOn w:val="1"/>
    <w:next w:val="3"/>
    <w:autoRedefine/>
    <w:qFormat/>
    <w:uiPriority w:val="0"/>
    <w:pPr>
      <w:spacing w:after="120" w:line="480" w:lineRule="auto"/>
    </w:pPr>
  </w:style>
  <w:style w:type="paragraph" w:styleId="11">
    <w:name w:val="Normal (Web)"/>
    <w:basedOn w:val="1"/>
    <w:autoRedefine/>
    <w:semiHidden/>
    <w:unhideWhenUsed/>
    <w:qFormat/>
    <w:uiPriority w:val="99"/>
    <w:pPr>
      <w:widowControl/>
      <w:adjustRightInd/>
      <w:snapToGrid/>
      <w:spacing w:before="100" w:beforeAutospacing="1" w:after="100" w:afterAutospacing="1" w:line="240" w:lineRule="auto"/>
      <w:ind w:firstLine="0" w:firstLineChars="0"/>
      <w:jc w:val="left"/>
    </w:pPr>
    <w:rPr>
      <w:rFonts w:ascii="宋体" w:hAnsi="宋体" w:eastAsia="宋体" w:cs="宋体"/>
      <w:snapToGrid/>
      <w:sz w:val="24"/>
      <w:szCs w:val="24"/>
    </w:rPr>
  </w:style>
  <w:style w:type="paragraph" w:styleId="12">
    <w:name w:val="Body Text First Indent 2"/>
    <w:basedOn w:val="6"/>
    <w:next w:val="2"/>
    <w:autoRedefine/>
    <w:unhideWhenUsed/>
    <w:qFormat/>
    <w:uiPriority w:val="99"/>
    <w:pPr>
      <w:ind w:firstLine="420"/>
    </w:pPr>
  </w:style>
  <w:style w:type="table" w:styleId="14">
    <w:name w:val="Table Grid"/>
    <w:basedOn w:val="13"/>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autoRedefine/>
    <w:qFormat/>
    <w:uiPriority w:val="22"/>
    <w:rPr>
      <w:b/>
      <w:bCs/>
    </w:rPr>
  </w:style>
  <w:style w:type="character" w:styleId="17">
    <w:name w:val="FollowedHyperlink"/>
    <w:basedOn w:val="15"/>
    <w:semiHidden/>
    <w:unhideWhenUsed/>
    <w:qFormat/>
    <w:uiPriority w:val="99"/>
    <w:rPr>
      <w:color w:val="771CAA"/>
      <w:u w:val="none"/>
    </w:rPr>
  </w:style>
  <w:style w:type="character" w:styleId="18">
    <w:name w:val="Emphasis"/>
    <w:basedOn w:val="15"/>
    <w:qFormat/>
    <w:uiPriority w:val="0"/>
    <w:rPr>
      <w:color w:val="F73131"/>
    </w:rPr>
  </w:style>
  <w:style w:type="character" w:styleId="19">
    <w:name w:val="Hyperlink"/>
    <w:basedOn w:val="15"/>
    <w:semiHidden/>
    <w:unhideWhenUsed/>
    <w:qFormat/>
    <w:uiPriority w:val="99"/>
    <w:rPr>
      <w:rFonts w:ascii="微软雅黑" w:hAnsi="微软雅黑" w:eastAsia="微软雅黑" w:cs="微软雅黑"/>
      <w:color w:val="3E3E3E"/>
      <w:u w:val="single"/>
    </w:rPr>
  </w:style>
  <w:style w:type="character" w:styleId="20">
    <w:name w:val="HTML Cite"/>
    <w:basedOn w:val="15"/>
    <w:semiHidden/>
    <w:unhideWhenUsed/>
    <w:qFormat/>
    <w:uiPriority w:val="99"/>
    <w:rPr>
      <w:color w:val="008000"/>
    </w:rPr>
  </w:style>
  <w:style w:type="paragraph" w:styleId="21">
    <w:name w:val="List Paragraph"/>
    <w:basedOn w:val="1"/>
    <w:autoRedefine/>
    <w:qFormat/>
    <w:uiPriority w:val="99"/>
    <w:pPr>
      <w:ind w:firstLine="420"/>
    </w:pPr>
  </w:style>
  <w:style w:type="character" w:customStyle="1" w:styleId="22">
    <w:name w:val="_2y-lwqd4pbx0_jgmsfrl8m"/>
    <w:basedOn w:val="15"/>
    <w:autoRedefine/>
    <w:qFormat/>
    <w:uiPriority w:val="0"/>
  </w:style>
  <w:style w:type="character" w:customStyle="1" w:styleId="23">
    <w:name w:val="页眉 字符"/>
    <w:basedOn w:val="15"/>
    <w:link w:val="9"/>
    <w:autoRedefine/>
    <w:qFormat/>
    <w:uiPriority w:val="99"/>
    <w:rPr>
      <w:rFonts w:eastAsia="仿宋"/>
      <w:snapToGrid w:val="0"/>
      <w:sz w:val="18"/>
      <w:szCs w:val="18"/>
    </w:rPr>
  </w:style>
  <w:style w:type="character" w:customStyle="1" w:styleId="24">
    <w:name w:val="页脚 字符"/>
    <w:basedOn w:val="15"/>
    <w:link w:val="8"/>
    <w:autoRedefine/>
    <w:qFormat/>
    <w:uiPriority w:val="99"/>
    <w:rPr>
      <w:rFonts w:eastAsia="仿宋"/>
      <w:snapToGrid w:val="0"/>
      <w:sz w:val="18"/>
      <w:szCs w:val="18"/>
    </w:rPr>
  </w:style>
  <w:style w:type="paragraph" w:customStyle="1" w:styleId="25">
    <w:name w:val="列出段落1"/>
    <w:basedOn w:val="1"/>
    <w:autoRedefine/>
    <w:qFormat/>
    <w:uiPriority w:val="0"/>
    <w:pPr>
      <w:widowControl/>
      <w:suppressAutoHyphens/>
      <w:adjustRightInd/>
      <w:snapToGrid/>
      <w:spacing w:line="240" w:lineRule="auto"/>
      <w:ind w:firstLine="420"/>
      <w:jc w:val="left"/>
    </w:pPr>
    <w:rPr>
      <w:rFonts w:ascii="宋体" w:hAnsi="宋体" w:eastAsia="宋体" w:cs="宋体"/>
      <w:snapToGrid/>
      <w:sz w:val="24"/>
      <w:szCs w:val="24"/>
    </w:rPr>
  </w:style>
  <w:style w:type="character" w:customStyle="1" w:styleId="26">
    <w:name w:val="UserStyle_4"/>
    <w:autoRedefine/>
    <w:qFormat/>
    <w:uiPriority w:val="0"/>
    <w:rPr>
      <w:rFonts w:ascii="Times New Roman" w:hAnsi="Times New Roman" w:eastAsia="宋体"/>
    </w:rPr>
  </w:style>
  <w:style w:type="character" w:customStyle="1" w:styleId="27">
    <w:name w:val="标题 1 字符"/>
    <w:basedOn w:val="15"/>
    <w:link w:val="4"/>
    <w:autoRedefine/>
    <w:qFormat/>
    <w:uiPriority w:val="0"/>
    <w:rPr>
      <w:rFonts w:eastAsia="仿宋"/>
      <w:b/>
      <w:bCs/>
      <w:snapToGrid w:val="0"/>
      <w:kern w:val="44"/>
      <w:sz w:val="44"/>
      <w:szCs w:val="44"/>
    </w:rPr>
  </w:style>
  <w:style w:type="character" w:customStyle="1" w:styleId="28">
    <w:name w:val="批注框文本 字符"/>
    <w:basedOn w:val="15"/>
    <w:link w:val="7"/>
    <w:autoRedefine/>
    <w:semiHidden/>
    <w:qFormat/>
    <w:uiPriority w:val="99"/>
    <w:rPr>
      <w:rFonts w:eastAsia="仿宋"/>
      <w:snapToGrid w:val="0"/>
      <w:sz w:val="18"/>
      <w:szCs w:val="18"/>
    </w:rPr>
  </w:style>
  <w:style w:type="paragraph" w:customStyle="1" w:styleId="29">
    <w:name w:val="Normal Indent1"/>
    <w:basedOn w:val="1"/>
    <w:next w:val="1"/>
    <w:autoRedefine/>
    <w:qFormat/>
    <w:uiPriority w:val="0"/>
    <w:pPr>
      <w:spacing w:line="660" w:lineRule="exact"/>
    </w:pPr>
    <w:rPr>
      <w:rFonts w:eastAsia="楷体_GB2312"/>
      <w:sz w:val="36"/>
      <w:szCs w:val="36"/>
    </w:rPr>
  </w:style>
  <w:style w:type="character" w:customStyle="1" w:styleId="30">
    <w:name w:val="NormalCharacter"/>
    <w:autoRedefine/>
    <w:semiHidden/>
    <w:qFormat/>
    <w:uiPriority w:val="0"/>
    <w:rPr>
      <w:rFonts w:asciiTheme="minorHAnsi" w:hAnsiTheme="minorHAnsi" w:eastAsiaTheme="minorEastAsia" w:cstheme="minorBidi"/>
      <w:kern w:val="2"/>
      <w:sz w:val="21"/>
      <w:szCs w:val="24"/>
      <w:lang w:val="en-US" w:eastAsia="zh-CN" w:bidi="ar-SA"/>
    </w:rPr>
  </w:style>
  <w:style w:type="paragraph" w:customStyle="1" w:styleId="31">
    <w:name w:val="[系统文字]"/>
    <w:autoRedefine/>
    <w:qFormat/>
    <w:uiPriority w:val="0"/>
    <w:pPr>
      <w:jc w:val="both"/>
    </w:pPr>
    <w:rPr>
      <w:rFonts w:ascii="Calibri" w:hAnsi="NEU-BZ" w:eastAsia="宋体" w:cs="Times New Roman"/>
      <w:sz w:val="22"/>
      <w:szCs w:val="22"/>
      <w:lang w:val="en-US" w:eastAsia="zh-CN" w:bidi="ar-SA"/>
    </w:rPr>
  </w:style>
  <w:style w:type="paragraph" w:customStyle="1" w:styleId="32">
    <w:name w:val="p0"/>
    <w:basedOn w:val="1"/>
    <w:autoRedefine/>
    <w:qFormat/>
    <w:uiPriority w:val="0"/>
    <w:pPr>
      <w:widowControl/>
      <w:spacing w:before="100" w:beforeAutospacing="1" w:after="100" w:afterAutospacing="1"/>
      <w:jc w:val="left"/>
    </w:pPr>
    <w:rPr>
      <w:rFonts w:ascii="宋体" w:hAnsi="宋体" w:cs="宋体"/>
      <w:sz w:val="24"/>
    </w:rPr>
  </w:style>
  <w:style w:type="character" w:customStyle="1" w:styleId="33">
    <w:name w:val="c-icon28"/>
    <w:basedOn w:val="15"/>
    <w:qFormat/>
    <w:uiPriority w:val="0"/>
  </w:style>
  <w:style w:type="character" w:customStyle="1" w:styleId="34">
    <w:name w:val="hover25"/>
    <w:basedOn w:val="15"/>
    <w:qFormat/>
    <w:uiPriority w:val="0"/>
    <w:rPr>
      <w:color w:val="315EFB"/>
    </w:rPr>
  </w:style>
  <w:style w:type="character" w:customStyle="1" w:styleId="35">
    <w:name w:val="hover26"/>
    <w:basedOn w:val="15"/>
    <w:qFormat/>
    <w:uiPriority w:val="0"/>
  </w:style>
  <w:style w:type="character" w:customStyle="1" w:styleId="36">
    <w:name w:val="hover27"/>
    <w:basedOn w:val="15"/>
    <w:qFormat/>
    <w:uiPriority w:val="0"/>
    <w:rPr>
      <w:color w:val="315EFB"/>
    </w:rPr>
  </w:style>
  <w:style w:type="character" w:customStyle="1" w:styleId="37">
    <w:name w:val="hover28"/>
    <w:basedOn w:val="15"/>
    <w:qFormat/>
    <w:uiPriority w:val="0"/>
    <w:rPr>
      <w:color w:val="335BFF"/>
    </w:rPr>
  </w:style>
  <w:style w:type="character" w:customStyle="1" w:styleId="38">
    <w:name w:val="hover29"/>
    <w:basedOn w:val="15"/>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Windows 10</Company>
  <Pages>20</Pages>
  <Words>10680</Words>
  <Characters>11454</Characters>
  <Lines>82</Lines>
  <Paragraphs>23</Paragraphs>
  <TotalTime>0</TotalTime>
  <ScaleCrop>false</ScaleCrop>
  <LinksUpToDate>false</LinksUpToDate>
  <CharactersWithSpaces>11472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2023-01-17T01:20:00Z</dcterms:created>
  <dc:creator>Windows 10</dc:creator>
  <cp:lastModifiedBy>我想</cp:lastModifiedBy>
  <cp:lastPrinted>2025-02-06T02:52:00Z</cp:lastPrinted>
  <dcterms:modified xsi:type="dcterms:W3CDTF">2025-03-11T03:15:58Z</dcterms:modified>
  <cp:revision>101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DA50C599D1B54BCC95410CA16BA15AB4_13</vt:lpwstr>
  </property>
  <property fmtid="{D5CDD505-2E9C-101B-9397-08002B2CF9AE}" pid="4" name="KSOTemplateDocerSaveRecord">
    <vt:lpwstr>eyJoZGlkIjoiNDU2Yjg3MWU1NWYyNjA1MzM2ZGM3NWJmNDE0MmRkNDYiLCJ1c2VySWQiOiI0NjIwODIzNjAifQ==</vt:lpwstr>
  </property>
</Properties>
</file>