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82457C">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color="090000" w:fill="FFFFFF"/>
          <w:lang w:val="en-US" w:eastAsia="zh-CN"/>
        </w:rPr>
      </w:pPr>
      <w:r>
        <w:rPr>
          <w:rFonts w:hint="eastAsia" w:ascii="黑体" w:hAnsi="宋体" w:eastAsia="黑体" w:cs="黑体"/>
          <w:i w:val="0"/>
          <w:iCs w:val="0"/>
          <w:caps w:val="0"/>
          <w:color w:val="444444"/>
          <w:spacing w:val="0"/>
          <w:kern w:val="0"/>
          <w:sz w:val="48"/>
          <w:szCs w:val="48"/>
          <w:shd w:val="clear" w:color="090000" w:fill="FFFFFF"/>
          <w:lang w:val="en-US" w:eastAsia="zh-CN"/>
        </w:rPr>
        <w:t>2025年</w:t>
      </w:r>
      <w:r>
        <w:rPr>
          <w:rFonts w:ascii="黑体" w:hAnsi="宋体" w:eastAsia="黑体" w:cs="黑体"/>
          <w:i w:val="0"/>
          <w:iCs w:val="0"/>
          <w:caps w:val="0"/>
          <w:color w:val="444444"/>
          <w:spacing w:val="0"/>
          <w:kern w:val="0"/>
          <w:sz w:val="48"/>
          <w:szCs w:val="48"/>
          <w:shd w:val="clear" w:color="090000" w:fill="FFFFFF"/>
          <w:lang w:val="en-US" w:eastAsia="zh-CN"/>
        </w:rPr>
        <w:t>渑池县市场监督管理局</w:t>
      </w:r>
    </w:p>
    <w:p w14:paraId="0757B577">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42" w:firstLine="420"/>
        <w:jc w:val="center"/>
        <w:rPr>
          <w:rFonts w:hint="eastAsia" w:ascii="微软雅黑" w:hAnsi="微软雅黑" w:eastAsia="微软雅黑" w:cs="微软雅黑"/>
          <w:i w:val="0"/>
          <w:iCs w:val="0"/>
          <w:caps w:val="0"/>
          <w:color w:val="444444"/>
          <w:spacing w:val="0"/>
          <w:sz w:val="48"/>
          <w:szCs w:val="48"/>
        </w:rPr>
      </w:pPr>
      <w:r>
        <w:rPr>
          <w:rFonts w:hint="eastAsia" w:ascii="黑体" w:hAnsi="宋体" w:eastAsia="黑体" w:cs="黑体"/>
          <w:i w:val="0"/>
          <w:iCs w:val="0"/>
          <w:caps w:val="0"/>
          <w:color w:val="444444"/>
          <w:spacing w:val="0"/>
          <w:kern w:val="0"/>
          <w:sz w:val="48"/>
          <w:szCs w:val="48"/>
          <w:shd w:val="clear" w:color="090000" w:fill="FFFFFF"/>
          <w:lang w:val="en-US" w:eastAsia="zh-CN"/>
        </w:rPr>
        <w:t>部门预算公开 </w:t>
      </w:r>
    </w:p>
    <w:p w14:paraId="1E321607">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right="51"/>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48"/>
          <w:szCs w:val="48"/>
          <w:shd w:val="clear" w:color="090000" w:fill="FFFFFF"/>
          <w:lang w:val="en-US" w:eastAsia="zh-CN"/>
        </w:rPr>
        <w:t>目 </w:t>
      </w:r>
      <w:r>
        <w:rPr>
          <w:rFonts w:hint="eastAsia" w:ascii="黑体" w:hAnsi="宋体" w:eastAsia="黑体" w:cs="黑体"/>
          <w:i w:val="0"/>
          <w:iCs w:val="0"/>
          <w:caps w:val="0"/>
          <w:color w:val="444444"/>
          <w:spacing w:val="2"/>
          <w:kern w:val="0"/>
          <w:sz w:val="48"/>
          <w:szCs w:val="48"/>
          <w:shd w:val="clear" w:color="090000" w:fill="FFFFFF"/>
          <w:lang w:val="en-US" w:eastAsia="zh-CN"/>
        </w:rPr>
        <w:t> </w:t>
      </w:r>
      <w:r>
        <w:rPr>
          <w:rFonts w:hint="eastAsia" w:ascii="黑体" w:hAnsi="宋体" w:eastAsia="黑体" w:cs="黑体"/>
          <w:i w:val="0"/>
          <w:iCs w:val="0"/>
          <w:caps w:val="0"/>
          <w:color w:val="444444"/>
          <w:spacing w:val="0"/>
          <w:kern w:val="0"/>
          <w:sz w:val="48"/>
          <w:szCs w:val="48"/>
          <w:shd w:val="clear" w:color="090000" w:fill="FFFFFF"/>
          <w:lang w:val="en-US" w:eastAsia="zh-CN"/>
        </w:rPr>
        <w:t>录</w:t>
      </w:r>
    </w:p>
    <w:p w14:paraId="6514ED25">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521" w:firstLine="640"/>
        <w:jc w:val="left"/>
        <w:rPr>
          <w:rFonts w:hint="eastAsia" w:ascii="黑体" w:hAnsi="宋体" w:eastAsia="黑体" w:cs="黑体"/>
          <w:i w:val="0"/>
          <w:iCs w:val="0"/>
          <w:caps w:val="0"/>
          <w:color w:val="444444"/>
          <w:spacing w:val="0"/>
          <w:kern w:val="0"/>
          <w:sz w:val="32"/>
          <w:szCs w:val="32"/>
          <w:shd w:val="clear" w:color="090000" w:fill="FFFFFF"/>
          <w:lang w:val="en-US" w:eastAsia="zh-CN"/>
        </w:rPr>
      </w:pPr>
      <w:r>
        <w:rPr>
          <w:rFonts w:hint="eastAsia" w:ascii="黑体" w:hAnsi="宋体" w:eastAsia="黑体" w:cs="黑体"/>
          <w:i w:val="0"/>
          <w:iCs w:val="0"/>
          <w:caps w:val="0"/>
          <w:color w:val="444444"/>
          <w:spacing w:val="0"/>
          <w:kern w:val="0"/>
          <w:sz w:val="32"/>
          <w:szCs w:val="32"/>
          <w:shd w:val="clear" w:color="090000" w:fill="FFFFFF"/>
          <w:lang w:val="en-US" w:eastAsia="zh-CN"/>
        </w:rPr>
        <w:t>第一部分渑池县市场监督管理局概况</w:t>
      </w:r>
    </w:p>
    <w:p w14:paraId="1CF10715">
      <w:pPr>
        <w:widowControl/>
        <w:numPr>
          <w:ilvl w:val="0"/>
          <w:numId w:val="1"/>
        </w:numPr>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560" w:lineRule="atLeast"/>
        <w:ind w:left="735" w:right="2550" w:firstLine="160"/>
        <w:jc w:val="left"/>
        <w:rPr>
          <w:rFonts w:ascii="仿宋_GB2312" w:hAnsi="宋体" w:eastAsia="仿宋_GB2312" w:cs="仿宋_GB2312"/>
          <w:i w:val="0"/>
          <w:iCs w:val="0"/>
          <w:caps w:val="0"/>
          <w:color w:val="444444"/>
          <w:spacing w:val="0"/>
          <w:sz w:val="31"/>
          <w:szCs w:val="31"/>
          <w:shd w:val="clear" w:color="auto" w:fill="FFFFFF"/>
        </w:rPr>
      </w:pP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主要职能</w:t>
      </w:r>
    </w:p>
    <w:p w14:paraId="5F9B3790">
      <w:pPr>
        <w:widowControl/>
        <w:numPr>
          <w:ilvl w:val="0"/>
          <w:numId w:val="1"/>
        </w:numPr>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560" w:lineRule="atLeast"/>
        <w:ind w:left="735" w:right="2550" w:firstLine="160"/>
        <w:jc w:val="left"/>
        <w:rPr>
          <w:rFonts w:hint="eastAsia" w:ascii="微软雅黑" w:hAnsi="微软雅黑" w:eastAsia="微软雅黑" w:cs="微软雅黑"/>
          <w:i w:val="0"/>
          <w:iCs w:val="0"/>
          <w:caps w:val="0"/>
          <w:color w:val="444444"/>
          <w:spacing w:val="0"/>
          <w:sz w:val="24"/>
          <w:szCs w:val="24"/>
        </w:rPr>
      </w:pPr>
      <w:r>
        <w:rPr>
          <w:rFonts w:ascii="仿宋_GB2312" w:hAnsi="宋体" w:eastAsia="仿宋_GB2312" w:cs="仿宋_GB2312"/>
          <w:i w:val="0"/>
          <w:iCs w:val="0"/>
          <w:caps w:val="0"/>
          <w:color w:val="444444"/>
          <w:spacing w:val="0"/>
          <w:sz w:val="31"/>
          <w:szCs w:val="31"/>
          <w:shd w:val="clear" w:color="auto" w:fill="FFFFFF"/>
        </w:rPr>
        <w:t>机构设置</w:t>
      </w:r>
    </w:p>
    <w:p w14:paraId="7061FC8A">
      <w:pPr>
        <w:widowControl/>
        <w:numPr>
          <w:ilvl w:val="0"/>
          <w:numId w:val="1"/>
        </w:numPr>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560" w:lineRule="atLeast"/>
        <w:ind w:left="735" w:right="2550" w:firstLine="160"/>
        <w:jc w:val="left"/>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部门预算单位构成</w:t>
      </w:r>
    </w:p>
    <w:p w14:paraId="00202D66">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521"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第二部分 渑池县市场监督管理局</w:t>
      </w:r>
      <w:r>
        <w:rPr>
          <w:rFonts w:hint="eastAsia" w:ascii="黑体" w:hAnsi="宋体" w:eastAsia="黑体" w:cs="黑体"/>
          <w:i w:val="0"/>
          <w:iCs w:val="0"/>
          <w:caps w:val="0"/>
          <w:color w:val="444444"/>
          <w:spacing w:val="-119"/>
          <w:kern w:val="0"/>
          <w:sz w:val="32"/>
          <w:szCs w:val="32"/>
          <w:shd w:val="clear" w:color="090000" w:fill="FFFFFF"/>
          <w:lang w:val="en-US" w:eastAsia="zh-CN"/>
        </w:rPr>
        <w:t> </w:t>
      </w:r>
      <w:r>
        <w:rPr>
          <w:rFonts w:hint="eastAsia" w:ascii="黑体" w:hAnsi="宋体" w:eastAsia="黑体" w:cs="黑体"/>
          <w:i w:val="0"/>
          <w:iCs w:val="0"/>
          <w:caps w:val="0"/>
          <w:color w:val="444444"/>
          <w:spacing w:val="0"/>
          <w:kern w:val="0"/>
          <w:sz w:val="32"/>
          <w:szCs w:val="32"/>
          <w:shd w:val="clear" w:color="090000" w:fill="FFFFFF"/>
          <w:lang w:val="en-US" w:eastAsia="zh-CN"/>
        </w:rPr>
        <w:t>2025年度部门预算情况说明 </w:t>
      </w:r>
    </w:p>
    <w:p w14:paraId="4E8C5104">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521"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第三部分</w:t>
      </w:r>
      <w:r>
        <w:rPr>
          <w:rFonts w:hint="eastAsia" w:ascii="黑体" w:hAnsi="宋体" w:eastAsia="黑体" w:cs="黑体"/>
          <w:i w:val="0"/>
          <w:iCs w:val="0"/>
          <w:caps w:val="0"/>
          <w:color w:val="444444"/>
          <w:spacing w:val="-32"/>
          <w:kern w:val="0"/>
          <w:sz w:val="32"/>
          <w:szCs w:val="32"/>
          <w:shd w:val="clear" w:color="090000" w:fill="FFFFFF"/>
          <w:lang w:val="en-US" w:eastAsia="zh-CN"/>
        </w:rPr>
        <w:t> </w:t>
      </w:r>
      <w:r>
        <w:rPr>
          <w:rFonts w:hint="eastAsia" w:ascii="黑体" w:hAnsi="宋体" w:eastAsia="黑体" w:cs="黑体"/>
          <w:i w:val="0"/>
          <w:iCs w:val="0"/>
          <w:caps w:val="0"/>
          <w:color w:val="444444"/>
          <w:spacing w:val="0"/>
          <w:kern w:val="0"/>
          <w:sz w:val="32"/>
          <w:szCs w:val="32"/>
          <w:shd w:val="clear" w:color="090000" w:fill="FFFFFF"/>
          <w:lang w:val="en-US" w:eastAsia="zh-CN"/>
        </w:rPr>
        <w:t>名词解释</w:t>
      </w:r>
    </w:p>
    <w:p w14:paraId="61218E85">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附件：渑池县市场监督管理局2025年度部门预算表</w:t>
      </w:r>
    </w:p>
    <w:p w14:paraId="2CABF74D">
      <w:pPr>
        <w:widowControl w:val="0"/>
        <w:pBdr>
          <w:top w:val="none" w:color="auto" w:sz="0" w:space="0"/>
          <w:left w:val="none" w:color="auto" w:sz="0" w:space="0"/>
          <w:bottom w:val="none" w:color="auto" w:sz="0" w:space="0"/>
          <w:right w:val="none" w:color="auto" w:sz="0" w:space="0"/>
        </w:pBdr>
        <w:wordWrap/>
        <w:overflowPunct w:val="0"/>
        <w:autoSpaceDE w:val="0"/>
        <w:autoSpaceDN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rPr>
      </w:pPr>
      <w:r>
        <w:rPr>
          <w:rFonts w:hint="eastAsia" w:ascii="仿宋_GB2312" w:hAnsi="微软雅黑" w:eastAsia="仿宋_GB2312" w:cs="仿宋_GB2312"/>
          <w:b w:val="0"/>
          <w:i w:val="0"/>
          <w:caps w:val="0"/>
          <w:color w:val="000000"/>
          <w:spacing w:val="0"/>
          <w:kern w:val="0"/>
          <w:sz w:val="32"/>
          <w:szCs w:val="32"/>
          <w:lang w:val="en-US" w:eastAsia="zh-CN"/>
        </w:rPr>
        <w:t>一、部门收支总体情况表</w:t>
      </w:r>
    </w:p>
    <w:p w14:paraId="14AB8D48">
      <w:pPr>
        <w:widowControl w:val="0"/>
        <w:pBdr>
          <w:top w:val="none" w:color="auto" w:sz="0" w:space="0"/>
          <w:left w:val="none" w:color="auto" w:sz="0" w:space="0"/>
          <w:bottom w:val="none" w:color="auto" w:sz="0" w:space="0"/>
          <w:right w:val="none" w:color="auto" w:sz="0" w:space="0"/>
        </w:pBdr>
        <w:wordWrap/>
        <w:overflowPunct w:val="0"/>
        <w:autoSpaceDE w:val="0"/>
        <w:autoSpaceDN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rPr>
      </w:pPr>
      <w:r>
        <w:rPr>
          <w:rFonts w:hint="eastAsia" w:ascii="仿宋_GB2312" w:hAnsi="微软雅黑" w:eastAsia="仿宋_GB2312" w:cs="仿宋_GB2312"/>
          <w:b w:val="0"/>
          <w:i w:val="0"/>
          <w:caps w:val="0"/>
          <w:color w:val="000000"/>
          <w:spacing w:val="0"/>
          <w:kern w:val="0"/>
          <w:sz w:val="32"/>
          <w:szCs w:val="32"/>
          <w:lang w:val="en-US" w:eastAsia="zh-CN"/>
        </w:rPr>
        <w:t>二、部门收入总体情况表</w:t>
      </w:r>
    </w:p>
    <w:p w14:paraId="73C7BDAA">
      <w:pPr>
        <w:widowControl w:val="0"/>
        <w:pBdr>
          <w:top w:val="none" w:color="auto" w:sz="0" w:space="0"/>
          <w:left w:val="none" w:color="auto" w:sz="0" w:space="0"/>
          <w:bottom w:val="none" w:color="auto" w:sz="0" w:space="0"/>
          <w:right w:val="none" w:color="auto" w:sz="0" w:space="0"/>
        </w:pBdr>
        <w:wordWrap/>
        <w:overflowPunct w:val="0"/>
        <w:autoSpaceDE w:val="0"/>
        <w:autoSpaceDN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rPr>
      </w:pPr>
      <w:r>
        <w:rPr>
          <w:rFonts w:hint="eastAsia" w:ascii="仿宋_GB2312" w:hAnsi="微软雅黑" w:eastAsia="仿宋_GB2312" w:cs="仿宋_GB2312"/>
          <w:b w:val="0"/>
          <w:i w:val="0"/>
          <w:caps w:val="0"/>
          <w:color w:val="000000"/>
          <w:spacing w:val="0"/>
          <w:kern w:val="0"/>
          <w:sz w:val="32"/>
          <w:szCs w:val="32"/>
          <w:lang w:val="en-US" w:eastAsia="zh-CN"/>
        </w:rPr>
        <w:t>三、部门支出总体情况表</w:t>
      </w:r>
    </w:p>
    <w:p w14:paraId="60D50C57">
      <w:pPr>
        <w:widowControl w:val="0"/>
        <w:pBdr>
          <w:top w:val="none" w:color="auto" w:sz="0" w:space="0"/>
          <w:left w:val="none" w:color="auto" w:sz="0" w:space="0"/>
          <w:bottom w:val="none" w:color="auto" w:sz="0" w:space="0"/>
          <w:right w:val="none" w:color="auto" w:sz="0" w:space="0"/>
        </w:pBdr>
        <w:wordWrap/>
        <w:overflowPunct w:val="0"/>
        <w:autoSpaceDE w:val="0"/>
        <w:autoSpaceDN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rPr>
      </w:pPr>
      <w:r>
        <w:rPr>
          <w:rFonts w:hint="eastAsia" w:ascii="仿宋_GB2312" w:hAnsi="微软雅黑" w:eastAsia="仿宋_GB2312" w:cs="仿宋_GB2312"/>
          <w:b w:val="0"/>
          <w:i w:val="0"/>
          <w:caps w:val="0"/>
          <w:color w:val="000000"/>
          <w:spacing w:val="0"/>
          <w:kern w:val="0"/>
          <w:sz w:val="32"/>
          <w:szCs w:val="32"/>
          <w:lang w:val="en-US" w:eastAsia="zh-CN"/>
        </w:rPr>
        <w:t>四、财政拨款收支总体情况表</w:t>
      </w:r>
    </w:p>
    <w:p w14:paraId="33DC12B1">
      <w:pPr>
        <w:widowControl w:val="0"/>
        <w:pBdr>
          <w:top w:val="none" w:color="auto" w:sz="0" w:space="0"/>
          <w:left w:val="none" w:color="auto" w:sz="0" w:space="0"/>
          <w:bottom w:val="none" w:color="auto" w:sz="0" w:space="0"/>
          <w:right w:val="none" w:color="auto" w:sz="0" w:space="0"/>
        </w:pBdr>
        <w:wordWrap/>
        <w:overflowPunct w:val="0"/>
        <w:autoSpaceDE w:val="0"/>
        <w:autoSpaceDN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rPr>
      </w:pPr>
      <w:r>
        <w:rPr>
          <w:rFonts w:hint="eastAsia" w:ascii="仿宋_GB2312" w:hAnsi="微软雅黑" w:eastAsia="仿宋_GB2312" w:cs="仿宋_GB2312"/>
          <w:b w:val="0"/>
          <w:i w:val="0"/>
          <w:caps w:val="0"/>
          <w:color w:val="000000"/>
          <w:spacing w:val="0"/>
          <w:kern w:val="0"/>
          <w:sz w:val="32"/>
          <w:szCs w:val="32"/>
          <w:lang w:val="en-US" w:eastAsia="zh-CN"/>
        </w:rPr>
        <w:t>五、一般公共预算支出情况表</w:t>
      </w:r>
    </w:p>
    <w:p w14:paraId="5AEA2CA2">
      <w:pPr>
        <w:widowControl w:val="0"/>
        <w:pBdr>
          <w:top w:val="none" w:color="auto" w:sz="0" w:space="0"/>
          <w:left w:val="none" w:color="auto" w:sz="0" w:space="0"/>
          <w:bottom w:val="none" w:color="auto" w:sz="0" w:space="0"/>
          <w:right w:val="none" w:color="auto" w:sz="0" w:space="0"/>
        </w:pBdr>
        <w:wordWrap/>
        <w:overflowPunct w:val="0"/>
        <w:autoSpaceDE w:val="0"/>
        <w:autoSpaceDN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rPr>
      </w:pPr>
      <w:r>
        <w:rPr>
          <w:rFonts w:hint="eastAsia" w:ascii="仿宋_GB2312" w:hAnsi="微软雅黑" w:eastAsia="仿宋_GB2312" w:cs="仿宋_GB2312"/>
          <w:b w:val="0"/>
          <w:i w:val="0"/>
          <w:caps w:val="0"/>
          <w:color w:val="000000"/>
          <w:spacing w:val="0"/>
          <w:kern w:val="0"/>
          <w:sz w:val="32"/>
          <w:szCs w:val="32"/>
          <w:lang w:val="en-US" w:eastAsia="zh-CN"/>
        </w:rPr>
        <w:t>六、一般公共预算基本支出情况表</w:t>
      </w:r>
    </w:p>
    <w:p w14:paraId="52C25DC0">
      <w:pPr>
        <w:widowControl w:val="0"/>
        <w:pBdr>
          <w:top w:val="none" w:color="auto" w:sz="0" w:space="0"/>
          <w:left w:val="none" w:color="auto" w:sz="0" w:space="0"/>
          <w:bottom w:val="none" w:color="auto" w:sz="0" w:space="0"/>
          <w:right w:val="none" w:color="auto" w:sz="0" w:space="0"/>
        </w:pBdr>
        <w:wordWrap/>
        <w:overflowPunct w:val="0"/>
        <w:autoSpaceDE w:val="0"/>
        <w:autoSpaceDN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rPr>
      </w:pPr>
      <w:r>
        <w:rPr>
          <w:rFonts w:hint="eastAsia" w:ascii="仿宋_GB2312" w:hAnsi="微软雅黑" w:eastAsia="仿宋_GB2312" w:cs="仿宋_GB2312"/>
          <w:b w:val="0"/>
          <w:i w:val="0"/>
          <w:caps w:val="0"/>
          <w:color w:val="000000"/>
          <w:spacing w:val="0"/>
          <w:kern w:val="0"/>
          <w:sz w:val="32"/>
          <w:szCs w:val="32"/>
          <w:lang w:val="en-US" w:eastAsia="zh-CN"/>
        </w:rPr>
        <w:t>七、支出经济分类汇总表</w:t>
      </w:r>
    </w:p>
    <w:p w14:paraId="62C643FD">
      <w:pPr>
        <w:widowControl w:val="0"/>
        <w:pBdr>
          <w:top w:val="none" w:color="auto" w:sz="0" w:space="0"/>
          <w:left w:val="none" w:color="auto" w:sz="0" w:space="0"/>
          <w:bottom w:val="none" w:color="auto" w:sz="0" w:space="0"/>
          <w:right w:val="none" w:color="auto" w:sz="0" w:space="0"/>
        </w:pBdr>
        <w:wordWrap/>
        <w:overflowPunct w:val="0"/>
        <w:autoSpaceDE w:val="0"/>
        <w:autoSpaceDN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rPr>
      </w:pPr>
      <w:r>
        <w:rPr>
          <w:rFonts w:hint="eastAsia" w:ascii="仿宋_GB2312" w:hAnsi="微软雅黑" w:eastAsia="仿宋_GB2312" w:cs="仿宋_GB2312"/>
          <w:b w:val="0"/>
          <w:i w:val="0"/>
          <w:caps w:val="0"/>
          <w:color w:val="000000"/>
          <w:spacing w:val="0"/>
          <w:kern w:val="0"/>
          <w:sz w:val="32"/>
          <w:szCs w:val="32"/>
          <w:lang w:val="en-US" w:eastAsia="zh-CN"/>
        </w:rPr>
        <w:t>八、一般公共预算“三公”经费支出情况表</w:t>
      </w:r>
    </w:p>
    <w:p w14:paraId="691B13D1">
      <w:pPr>
        <w:widowControl w:val="0"/>
        <w:pBdr>
          <w:top w:val="none" w:color="auto" w:sz="0" w:space="0"/>
          <w:left w:val="none" w:color="auto" w:sz="0" w:space="0"/>
          <w:bottom w:val="none" w:color="auto" w:sz="0" w:space="0"/>
          <w:right w:val="none" w:color="auto" w:sz="0" w:space="0"/>
        </w:pBdr>
        <w:wordWrap/>
        <w:overflowPunct w:val="0"/>
        <w:autoSpaceDE w:val="0"/>
        <w:autoSpaceDN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rPr>
      </w:pPr>
      <w:r>
        <w:rPr>
          <w:rFonts w:hint="eastAsia" w:ascii="仿宋_GB2312" w:hAnsi="微软雅黑" w:eastAsia="仿宋_GB2312" w:cs="仿宋_GB2312"/>
          <w:b w:val="0"/>
          <w:i w:val="0"/>
          <w:caps w:val="0"/>
          <w:color w:val="000000"/>
          <w:spacing w:val="0"/>
          <w:kern w:val="0"/>
          <w:sz w:val="32"/>
          <w:szCs w:val="32"/>
          <w:lang w:val="en-US" w:eastAsia="zh-CN"/>
        </w:rPr>
        <w:t>九、政府性基金预算支出情况表</w:t>
      </w:r>
    </w:p>
    <w:p w14:paraId="371B1991">
      <w:pPr>
        <w:widowControl w:val="0"/>
        <w:pBdr>
          <w:top w:val="none" w:color="auto" w:sz="0" w:space="0"/>
          <w:left w:val="none" w:color="auto" w:sz="0" w:space="0"/>
          <w:bottom w:val="none" w:color="auto" w:sz="0" w:space="0"/>
          <w:right w:val="none" w:color="auto" w:sz="0" w:space="0"/>
        </w:pBdr>
        <w:wordWrap/>
        <w:overflowPunct w:val="0"/>
        <w:autoSpaceDE w:val="0"/>
        <w:autoSpaceDN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rPr>
      </w:pPr>
      <w:r>
        <w:rPr>
          <w:rFonts w:hint="eastAsia" w:ascii="仿宋_GB2312" w:hAnsi="微软雅黑" w:eastAsia="仿宋_GB2312" w:cs="仿宋_GB2312"/>
          <w:b w:val="0"/>
          <w:i w:val="0"/>
          <w:caps w:val="0"/>
          <w:color w:val="000000"/>
          <w:spacing w:val="0"/>
          <w:kern w:val="0"/>
          <w:sz w:val="32"/>
          <w:szCs w:val="32"/>
          <w:lang w:val="en-US" w:eastAsia="zh-CN"/>
        </w:rPr>
        <w:t>十、项目支出预算表</w:t>
      </w:r>
    </w:p>
    <w:p w14:paraId="49D391E6">
      <w:pPr>
        <w:widowControl w:val="0"/>
        <w:pBdr>
          <w:top w:val="none" w:color="auto" w:sz="0" w:space="0"/>
          <w:left w:val="none" w:color="auto" w:sz="0" w:space="0"/>
          <w:bottom w:val="none" w:color="auto" w:sz="0" w:space="0"/>
          <w:right w:val="none" w:color="auto" w:sz="0" w:space="0"/>
        </w:pBdr>
        <w:wordWrap/>
        <w:overflowPunct w:val="0"/>
        <w:autoSpaceDE w:val="0"/>
        <w:autoSpaceDN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rPr>
      </w:pPr>
      <w:r>
        <w:rPr>
          <w:rFonts w:hint="eastAsia" w:ascii="仿宋_GB2312" w:hAnsi="微软雅黑" w:eastAsia="仿宋_GB2312" w:cs="仿宋_GB2312"/>
          <w:b w:val="0"/>
          <w:i w:val="0"/>
          <w:caps w:val="0"/>
          <w:color w:val="000000"/>
          <w:spacing w:val="0"/>
          <w:kern w:val="0"/>
          <w:sz w:val="32"/>
          <w:szCs w:val="32"/>
          <w:lang w:val="en-US" w:eastAsia="zh-CN"/>
        </w:rPr>
        <w:t>十一、部门(单位)整体绩效目标表</w:t>
      </w:r>
    </w:p>
    <w:p w14:paraId="65AC8986">
      <w:pPr>
        <w:kinsoku w:val="0"/>
        <w:overflowPunct w:val="0"/>
        <w:adjustRightInd w:val="0"/>
        <w:snapToGrid w:val="0"/>
        <w:spacing w:line="560" w:lineRule="exact"/>
        <w:ind w:right="51" w:firstLine="960" w:firstLineChars="300"/>
        <w:rPr>
          <w:rFonts w:ascii="黑体" w:hAnsi="Times New Roman" w:eastAsia="黑体" w:cs="黑体"/>
          <w:sz w:val="56"/>
          <w:szCs w:val="56"/>
        </w:rPr>
      </w:pPr>
      <w:r>
        <w:rPr>
          <w:rFonts w:hint="eastAsia" w:ascii="仿宋_GB2312" w:hAnsi="微软雅黑" w:eastAsia="仿宋_GB2312" w:cs="仿宋_GB2312"/>
          <w:b w:val="0"/>
          <w:i w:val="0"/>
          <w:caps w:val="0"/>
          <w:color w:val="000000"/>
          <w:spacing w:val="0"/>
          <w:kern w:val="0"/>
          <w:sz w:val="32"/>
          <w:szCs w:val="32"/>
          <w:lang w:val="en-US" w:eastAsia="zh-CN"/>
        </w:rPr>
        <w:t>十二、部门预算项目绩效目标汇总表</w:t>
      </w:r>
    </w:p>
    <w:p w14:paraId="4C0E0AE7">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101" w:right="521" w:firstLine="640"/>
        <w:jc w:val="left"/>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pP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 </w:t>
      </w:r>
    </w:p>
    <w:p w14:paraId="59EDF6B0">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第一部分</w:t>
      </w:r>
    </w:p>
    <w:p w14:paraId="7809A9EB">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渑池县市场监督管理局概况</w:t>
      </w:r>
    </w:p>
    <w:p w14:paraId="09F704D3">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一、单位主要职能：</w:t>
      </w:r>
    </w:p>
    <w:p w14:paraId="5F89E1AB">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83"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b/>
          <w:bCs/>
          <w:i w:val="0"/>
          <w:iCs w:val="0"/>
          <w:caps w:val="0"/>
          <w:color w:val="444444"/>
          <w:spacing w:val="10"/>
          <w:kern w:val="0"/>
          <w:sz w:val="32"/>
          <w:szCs w:val="32"/>
          <w:shd w:val="clear" w:color="0B0000" w:fill="FFFFFF"/>
          <w:lang w:val="en-US" w:eastAsia="zh-CN"/>
        </w:rPr>
        <w:t>　</w:t>
      </w:r>
      <w:r>
        <w:rPr>
          <w:rFonts w:ascii="仿宋" w:hAnsi="仿宋" w:eastAsia="仿宋" w:cs="仿宋"/>
          <w:i w:val="0"/>
          <w:iCs w:val="0"/>
          <w:caps w:val="0"/>
          <w:color w:val="444444"/>
          <w:spacing w:val="0"/>
          <w:kern w:val="0"/>
          <w:sz w:val="32"/>
          <w:szCs w:val="32"/>
          <w:shd w:val="clear" w:color="090000" w:fill="FFFFFF"/>
          <w:lang w:val="en-US" w:eastAsia="zh-CN"/>
        </w:rPr>
        <w:t>（一）负责全县市场综合监督管理。</w:t>
      </w:r>
      <w:r>
        <w:rPr>
          <w:rFonts w:hint="eastAsia" w:ascii="仿宋" w:hAnsi="仿宋" w:eastAsia="仿宋" w:cs="仿宋"/>
          <w:i w:val="0"/>
          <w:iCs w:val="0"/>
          <w:caps w:val="0"/>
          <w:color w:val="444444"/>
          <w:spacing w:val="0"/>
          <w:kern w:val="0"/>
          <w:sz w:val="32"/>
          <w:szCs w:val="32"/>
          <w:shd w:val="clear" w:color="090000" w:fill="FFFFFF"/>
          <w:lang w:val="en-US" w:eastAsia="zh-CN"/>
        </w:rPr>
        <w:t>实施市场监督管理有关法律法规和政策，组织实施质量强县战略、食品安全战略、标准化战略和知识产权战略，规范和维护市场秩序，营造诚实守信、公平竞争的市场环境。</w:t>
      </w:r>
    </w:p>
    <w:p w14:paraId="3103C9E1">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二）负责全县市场主体统一登记注册。指导各类企业、农民专业合作社和从事经营活动的单位、个体工商户等市场主体的登记注册工作。落实市场主体信息公示和信息共享，加强信用监管，推动市场主体信用体系建设。</w:t>
      </w:r>
    </w:p>
    <w:p w14:paraId="7B8D83D1">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（三）负责组织和指导全县市场监管综合执法工作。整合市场监管执法队伍，实行统一的市场监管。组织查处各类违法经营案件，规范市场监管行政执法行为。</w:t>
      </w:r>
    </w:p>
    <w:p w14:paraId="29E73F41">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四）负责监督管理市场秩序。依法监督管理市场交易，网络商品交易及有关服务的行为。依法查处价格收费违法违规、不正当竞争、违法直销、传销、侵犯商标专利知识产权和制售假冒伪劣行为。监督管理广告活动。依法查处无照生产经营和相关无证生产经营行为。指导渑池县消费者协会开展消费维权工作。</w:t>
      </w:r>
    </w:p>
    <w:p w14:paraId="63FFBF1B">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五）负责宏观质量管理。承担产品质量诚信体系建设责任，负责全县质量宏观管理工作，组织开展全县质量振兴工作，推进实施名牌发展战略，组织实施质量奖励制度，牵头组织开展政府质量工作考核，实施缺陷产品召回制度，监督管理产品防伪工作。</w:t>
      </w:r>
    </w:p>
    <w:p w14:paraId="60F7E9F9">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（六）负责产品质量安全监督管理。组织实施产品质量安全风险监控和监督抽查工作。组织实施质量分级制度、质量安全追溯制度。负责工业产品生产许可证管理工作。</w:t>
      </w:r>
    </w:p>
    <w:p w14:paraId="005ADFB2">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（七）负责特种设备安全监督管理。综合管理特种设备安全监察、监督工作，监督检查高耗能特种设备节能标准和锅炉环境保护标准的执行情况。</w:t>
      </w:r>
    </w:p>
    <w:p w14:paraId="42ED03DB">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（八）负责食品安全监督管理综合协调。负责食品安全事故应急体系建设，组织和指导食品安全事故应急处置和调查处理工作，监督事故查处落实情况。</w:t>
      </w:r>
    </w:p>
    <w:p w14:paraId="1852F56A">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（九）负责食品安全监督管理。</w:t>
      </w:r>
      <w:r>
        <w:rPr>
          <w:rFonts w:hint="eastAsia" w:ascii="仿宋" w:hAnsi="仿宋" w:eastAsia="仿宋" w:cs="仿宋"/>
          <w:i w:val="0"/>
          <w:iCs w:val="0"/>
          <w:caps w:val="0"/>
          <w:color w:val="333333"/>
          <w:spacing w:val="0"/>
          <w:kern w:val="0"/>
          <w:sz w:val="32"/>
          <w:szCs w:val="32"/>
          <w:shd w:val="clear" w:color="090000" w:fill="FFFFFF"/>
          <w:lang w:val="en-US" w:eastAsia="zh-CN"/>
        </w:rPr>
        <w:t>组织实施覆盖食品生产、流通、消费全过程的监督检查制度、隐患排查治理机制，防范区域性、系统性食品安全风险。推动建立食品生产经营者落实主体责任机制，健全食品安全追溯体系。承担上级交办和负责本级食品安全风险监测、监督抽检、核查处置、风险交流工作。</w:t>
      </w:r>
    </w:p>
    <w:p w14:paraId="400EABEA">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（十）负责监督实施国家药典等药品和医疗器械标准、分类管理制度。负责药品、医疗器械研制、生产、流通和使用质量安全监管。</w:t>
      </w:r>
      <w:r>
        <w:rPr>
          <w:rFonts w:hint="eastAsia" w:ascii="仿宋" w:hAnsi="仿宋" w:eastAsia="仿宋" w:cs="仿宋"/>
          <w:i w:val="0"/>
          <w:iCs w:val="0"/>
          <w:caps w:val="0"/>
          <w:color w:val="444444"/>
          <w:spacing w:val="-6"/>
          <w:kern w:val="0"/>
          <w:sz w:val="32"/>
          <w:szCs w:val="32"/>
          <w:shd w:val="clear" w:color="090000" w:fill="FFFFFF"/>
          <w:lang w:val="en-US" w:eastAsia="zh-CN"/>
        </w:rPr>
        <w:t>组织实施中药品种保护制度。组织开展药品监督抽验工作。建立药品不良反应、医疗器械不良事件监测体系，并开展监测和处置工作。根据化妆品监督管理办法组织实施化妆品监督管理。</w:t>
      </w:r>
    </w:p>
    <w:p w14:paraId="2C1DE631">
      <w:pPr>
        <w:pStyle w:val="2"/>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600" w:lineRule="exact"/>
        <w:ind w:left="0" w:right="0" w:firstLine="640" w:firstLineChars="200"/>
        <w:jc w:val="both"/>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sz w:val="32"/>
          <w:szCs w:val="32"/>
          <w:shd w:val="clear" w:color="080000" w:fill="FFFFFF"/>
        </w:rPr>
        <w:t>（十一）负责管理计量工作。推行法定计量单位和国家计量制度，依法管理计量器具及量值传递、溯源和比对工作，负责规范和监督商</w:t>
      </w:r>
      <w:r>
        <w:rPr>
          <w:rFonts w:hint="eastAsia" w:ascii="仿宋" w:hAnsi="仿宋" w:eastAsia="仿宋" w:cs="仿宋"/>
          <w:i w:val="0"/>
          <w:iCs w:val="0"/>
          <w:caps w:val="0"/>
          <w:color w:val="000000"/>
          <w:spacing w:val="0"/>
          <w:sz w:val="32"/>
          <w:szCs w:val="32"/>
          <w:shd w:val="clear" w:color="080000" w:fill="FFFFFF"/>
        </w:rPr>
        <w:t>品量和市场计量行为。</w:t>
      </w:r>
    </w:p>
    <w:p w14:paraId="02F117BD">
      <w:pPr>
        <w:pStyle w:val="2"/>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600" w:lineRule="exact"/>
        <w:ind w:left="0" w:right="0" w:firstLine="640" w:firstLineChars="200"/>
        <w:jc w:val="both"/>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sz w:val="32"/>
          <w:szCs w:val="32"/>
          <w:shd w:val="clear" w:color="080000" w:fill="FFFFFF"/>
        </w:rPr>
        <w:t>（十二）负责管理标准化工作。</w:t>
      </w:r>
      <w:r>
        <w:rPr>
          <w:rFonts w:hint="eastAsia" w:ascii="仿宋" w:hAnsi="仿宋" w:eastAsia="仿宋" w:cs="仿宋"/>
          <w:i w:val="0"/>
          <w:iCs w:val="0"/>
          <w:caps w:val="0"/>
          <w:color w:val="404040"/>
          <w:spacing w:val="0"/>
          <w:sz w:val="32"/>
          <w:szCs w:val="32"/>
          <w:shd w:val="clear" w:color="080000" w:fill="FFFFFF"/>
        </w:rPr>
        <w:t>依据法定职责，对标准的实施进行监督检查。</w:t>
      </w:r>
      <w:r>
        <w:rPr>
          <w:rFonts w:hint="eastAsia" w:ascii="仿宋" w:hAnsi="仿宋" w:eastAsia="仿宋" w:cs="仿宋"/>
          <w:i w:val="0"/>
          <w:iCs w:val="0"/>
          <w:caps w:val="0"/>
          <w:color w:val="444444"/>
          <w:spacing w:val="0"/>
          <w:sz w:val="32"/>
          <w:szCs w:val="32"/>
          <w:shd w:val="clear" w:color="080000" w:fill="FFFFFF"/>
        </w:rPr>
        <w:t>负责商品条码工作。</w:t>
      </w:r>
    </w:p>
    <w:p w14:paraId="138DD453">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十三）负责监督管理全县质量认证和实验室技术能力的认证认可工作。研究制定全县认证认可工作制度，组织开展并监督管理全县的国家实施强制性认证工作，依法监督和规范认证市场，监督管理与质量技术监督相关的认证中介服务和技术评价活动。</w:t>
      </w:r>
    </w:p>
    <w:p w14:paraId="347BBCFF">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（十四）负责管理检验检测工作。规范检验检测市场，完善检验检测体系，指导协调检验检测行业发展。</w:t>
      </w:r>
    </w:p>
    <w:p w14:paraId="31C31AB2">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（十五）负责知识产权工作。</w:t>
      </w:r>
      <w:r>
        <w:rPr>
          <w:rFonts w:hint="eastAsia" w:ascii="仿宋" w:hAnsi="仿宋" w:eastAsia="仿宋" w:cs="仿宋"/>
          <w:i w:val="0"/>
          <w:iCs w:val="0"/>
          <w:caps w:val="0"/>
          <w:color w:val="333333"/>
          <w:spacing w:val="0"/>
          <w:kern w:val="0"/>
          <w:sz w:val="32"/>
          <w:szCs w:val="32"/>
          <w:shd w:val="clear" w:color="090000" w:fill="FFFFFF"/>
          <w:lang w:val="en-US" w:eastAsia="zh-CN"/>
        </w:rPr>
        <w:t>依法实施全县知识产权创造、保护和运用，承担商标、专利、原产地地理标志等知识产权的管理和保护工作，负责指导和处理知识产权争议、维权援助、纠纷调处。</w:t>
      </w:r>
    </w:p>
    <w:p w14:paraId="0A4A69F0">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（十六）负责促进全县非公经济发展，指导、协调全县小微企业、个体工商户、专业市场党建工作。</w:t>
      </w:r>
    </w:p>
    <w:p w14:paraId="72045996">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（十七）承担渑池县人民政府食品安全委员会的日常工作。</w:t>
      </w:r>
    </w:p>
    <w:p w14:paraId="05B06378">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仿宋" w:hAnsi="仿宋" w:eastAsia="仿宋" w:cs="仿宋"/>
          <w:i w:val="0"/>
          <w:iCs w:val="0"/>
          <w:caps w:val="0"/>
          <w:color w:val="444444"/>
          <w:spacing w:val="0"/>
          <w:kern w:val="0"/>
          <w:sz w:val="32"/>
          <w:szCs w:val="32"/>
          <w:shd w:val="clear" w:color="090000" w:fill="FFFFFF"/>
          <w:lang w:val="en-US" w:eastAsia="zh-CN"/>
        </w:rPr>
      </w:pPr>
      <w:r>
        <w:rPr>
          <w:rFonts w:hint="eastAsia" w:ascii="仿宋" w:hAnsi="仿宋" w:eastAsia="仿宋" w:cs="仿宋"/>
          <w:i w:val="0"/>
          <w:iCs w:val="0"/>
          <w:caps w:val="0"/>
          <w:color w:val="444444"/>
          <w:spacing w:val="0"/>
          <w:kern w:val="0"/>
          <w:sz w:val="32"/>
          <w:szCs w:val="32"/>
          <w:shd w:val="clear" w:color="090000" w:fill="FFFFFF"/>
          <w:lang w:val="en-US" w:eastAsia="zh-CN"/>
        </w:rPr>
        <w:t>（十八）完成县委、县政府交办的其他任务。</w:t>
      </w:r>
    </w:p>
    <w:p w14:paraId="5D13E058">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20" w:firstLineChars="200"/>
        <w:jc w:val="left"/>
        <w:textAlignment w:val="auto"/>
        <w:rPr>
          <w:rFonts w:hint="eastAsia" w:ascii="微软雅黑" w:hAnsi="微软雅黑" w:eastAsia="微软雅黑" w:cs="微软雅黑"/>
          <w:i w:val="0"/>
          <w:iCs w:val="0"/>
          <w:caps w:val="0"/>
          <w:color w:val="444444"/>
          <w:spacing w:val="0"/>
          <w:sz w:val="24"/>
          <w:szCs w:val="24"/>
        </w:rPr>
      </w:pPr>
      <w:r>
        <w:rPr>
          <w:rFonts w:ascii="黑体" w:hAnsi="宋体" w:eastAsia="黑体" w:cs="黑体"/>
          <w:i w:val="0"/>
          <w:iCs w:val="0"/>
          <w:caps w:val="0"/>
          <w:color w:val="000000"/>
          <w:spacing w:val="0"/>
          <w:kern w:val="0"/>
          <w:sz w:val="31"/>
          <w:szCs w:val="31"/>
          <w:shd w:val="clear" w:color="auto" w:fill="FFFFFF"/>
          <w:lang w:val="en-US" w:eastAsia="zh-CN"/>
        </w:rPr>
        <w:t>二、机构设置</w:t>
      </w:r>
    </w:p>
    <w:p w14:paraId="4228AD87">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渑池县市场监督管理局包含 16个内设机构，12个乡镇市场监管所，4个事业单位：食品药品检验所，渑池县质量技术监督检验检测中</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心</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，渑池县消费者协会，渑池县个体私营经济协</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会</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　　　　　　　　　　　　　　　　　　 </w:t>
      </w:r>
    </w:p>
    <w:p w14:paraId="4D5A22DF">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一）办公室（应急管理办公室）。协助局领导协调和处理机关政务和日常事务工作；承担综合、协调、督促、检查等政务工作；负责局机关的文秘、档案、信访、机要保密、催办查办、政务公开、人大政协建议提案办理、统计、后勤、保卫、安全生产和综合治理工作；负责信息化建设和局志编纂工作；负责筹备局务会议工作；负责局机关固定资产实物管理工作；负责全局目标管理工作；贯彻执行党和国家宣传工作的方针、政策，坚持正确的舆论导向；组织协调宣传报道、新闻发布和意识形态领域各项工作；负责扶贫工作；负责计划生育工作；负责机关精神文明创建工作。</w:t>
      </w:r>
      <w:r>
        <w:rPr>
          <w:rFonts w:hint="eastAsia" w:ascii="仿宋" w:hAnsi="仿宋" w:eastAsia="仿宋" w:cs="仿宋"/>
          <w:i w:val="0"/>
          <w:iCs w:val="0"/>
          <w:caps w:val="0"/>
          <w:color w:val="333333"/>
          <w:spacing w:val="0"/>
          <w:kern w:val="0"/>
          <w:sz w:val="32"/>
          <w:szCs w:val="32"/>
          <w:shd w:val="clear" w:color="090000" w:fill="FFFFFF"/>
          <w:lang w:val="en-US" w:eastAsia="zh-CN"/>
        </w:rPr>
        <w:t>组织协调突发事件重大事故应急处置和调查处理工作。</w:t>
      </w:r>
    </w:p>
    <w:p w14:paraId="4D55A07D">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二）组织人事股。负责机构编制、人事管理、队伍建设、职业资格和外事等工作；负责机关和所属单位的干部教育培训工作和对外交流等工作；指导系统基层建设工作，组织实施市场监督管理所规范化建设；负责机关离退休干部工作；负责党总支日常工作，按组织规定履行党群职责；制定市场监管系统党风廉政工作责任目标等日常性工作，配合上级纪委监委监督执纪问责。</w:t>
      </w:r>
    </w:p>
    <w:p w14:paraId="74186759">
      <w:pPr>
        <w:pStyle w:val="2"/>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600" w:lineRule="exact"/>
        <w:ind w:left="0" w:right="0" w:firstLine="640" w:firstLineChars="200"/>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sz w:val="32"/>
          <w:szCs w:val="32"/>
          <w:shd w:val="clear" w:color="080000" w:fill="FFFFFF"/>
        </w:rPr>
        <w:t>（三）食品综合协调股（食品监督检查股）。承担县政府食品安全委员会办公室日常工作，负责县政府食品安全委员会成员单位之间的联络服务；组织贯彻落实食品药品安全工作相关方针政策，开展食品药品安全监督管理综合性调研，组织开展食品药品安全风险预警和风险交流，组织协调各相关部门建立食品安全信息统计工作衔接机制；承担食品药品行业诚信体系建设工作；组织开展食品药品监督管理交流与合作；负责食品药品安全应急体系建设，组织编制食品药品安全事故应急预案并开展应急培训和演练,建立食品药品重大信息直报制度并监督实施，牵头组织重大食品药品安全事故处置以及责任调查处理工作；督促检查食品安全法律法规的贯彻执行情况；督促检查县政府食品安全委员会决策部署的贯彻执行情况；督促检查各乡镇政府以及县政府有关部门履行食品安全监管职责情况；承担县直有关部门和乡（镇）政府履行食品安全监督管理职责的考核评价工作，推动健全协调联动机制，完善相关制度。指导完善食品安全隐患排查治理机制，组织开展食品安全重大整顿治理和联合检查行动。</w:t>
      </w:r>
    </w:p>
    <w:p w14:paraId="4BF26DBC">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四）计划财务股（审计股）。负责拟订发展规划、基本建设及财务计划并组织实施；负责机关财务管理工作，承担机关和下属单位预决算及各类资金、国有资产管理、政府采购等工作；负责罚没物资拍卖、销毁的报批处置工作；负责内部审计工作。</w:t>
      </w:r>
    </w:p>
    <w:p w14:paraId="665DE172">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五）政策法规股。全面推进依法行政工作，落实行政执法责任制；负责有关规范性文件的合法性审核工作和清理工作；组织开展行政执法监督检查工作；承担机关行政复议、行政应诉和赔偿工作；承担本级机关行政处罚案件的核审工作；负责政策研究、法制宣传和培训工作；负责行政执法人员执法证件管理工作；负责行政复议、诉讼、听证和赔偿等工作。组织开展有关法治宣传教育工作。</w:t>
      </w:r>
    </w:p>
    <w:p w14:paraId="2B6A1FB0">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六）行政许可服务股。负责拟订全县企业登记注册；承担规定范围内的内资企业在本辖区从事生产经营活动的登记注册工作，并监督检查其登记注册行为；承担登记注册信息的分析应用；负责招商引资工作。负责拟订私营企业、个体工商户和农民专业合作社登记注册的具体措施；指导私营企业、个体工商户和农民专业合作社登记注册工作，负责实施登记注册事项执行情况的监督检查，查处违反登记管理法规的行为；查处取缔无照经营。</w:t>
      </w:r>
      <w:r>
        <w:rPr>
          <w:rFonts w:hint="eastAsia" w:ascii="仿宋" w:hAnsi="仿宋" w:eastAsia="仿宋" w:cs="仿宋"/>
          <w:i w:val="0"/>
          <w:iCs w:val="0"/>
          <w:caps w:val="0"/>
          <w:color w:val="000000"/>
          <w:spacing w:val="0"/>
          <w:kern w:val="0"/>
          <w:sz w:val="32"/>
          <w:szCs w:val="32"/>
          <w:shd w:val="clear" w:color="090000" w:fill="FFFFFF"/>
          <w:lang w:val="en-US" w:eastAsia="zh-CN"/>
        </w:rPr>
        <w:t>负责县级食品生产、</w:t>
      </w:r>
      <w:r>
        <w:rPr>
          <w:rFonts w:hint="eastAsia" w:ascii="仿宋" w:hAnsi="仿宋" w:eastAsia="仿宋" w:cs="仿宋"/>
          <w:i w:val="0"/>
          <w:iCs w:val="0"/>
          <w:caps w:val="0"/>
          <w:color w:val="444444"/>
          <w:spacing w:val="0"/>
          <w:kern w:val="0"/>
          <w:sz w:val="32"/>
          <w:szCs w:val="32"/>
          <w:shd w:val="clear" w:color="090000" w:fill="FFFFFF"/>
          <w:lang w:val="en-US" w:eastAsia="zh-CN"/>
        </w:rPr>
        <w:t>食品经营</w:t>
      </w:r>
      <w:r>
        <w:rPr>
          <w:rFonts w:hint="eastAsia" w:ascii="仿宋" w:hAnsi="仿宋" w:eastAsia="仿宋" w:cs="仿宋"/>
          <w:i w:val="0"/>
          <w:iCs w:val="0"/>
          <w:caps w:val="0"/>
          <w:color w:val="000000"/>
          <w:spacing w:val="0"/>
          <w:kern w:val="0"/>
          <w:sz w:val="32"/>
          <w:szCs w:val="32"/>
          <w:shd w:val="clear" w:color="090000" w:fill="FFFFFF"/>
          <w:lang w:val="en-US" w:eastAsia="zh-CN"/>
        </w:rPr>
        <w:t>行政许可</w:t>
      </w:r>
      <w:r>
        <w:rPr>
          <w:rFonts w:hint="eastAsia" w:ascii="仿宋" w:hAnsi="仿宋" w:eastAsia="仿宋" w:cs="仿宋"/>
          <w:i w:val="0"/>
          <w:iCs w:val="0"/>
          <w:caps w:val="0"/>
          <w:color w:val="444444"/>
          <w:spacing w:val="0"/>
          <w:kern w:val="0"/>
          <w:sz w:val="32"/>
          <w:szCs w:val="32"/>
          <w:shd w:val="clear" w:color="090000" w:fill="FFFFFF"/>
          <w:lang w:val="en-US" w:eastAsia="zh-CN"/>
        </w:rPr>
        <w:t>职责</w:t>
      </w:r>
      <w:r>
        <w:rPr>
          <w:rFonts w:hint="eastAsia" w:ascii="仿宋" w:hAnsi="仿宋" w:eastAsia="仿宋" w:cs="仿宋"/>
          <w:i w:val="0"/>
          <w:iCs w:val="0"/>
          <w:caps w:val="0"/>
          <w:color w:val="000000"/>
          <w:spacing w:val="0"/>
          <w:kern w:val="0"/>
          <w:sz w:val="32"/>
          <w:szCs w:val="32"/>
          <w:shd w:val="clear" w:color="090000" w:fill="FFFFFF"/>
          <w:lang w:val="en-US" w:eastAsia="zh-CN"/>
        </w:rPr>
        <w:t>并承担相应责任</w:t>
      </w:r>
      <w:r>
        <w:rPr>
          <w:rFonts w:hint="eastAsia" w:ascii="仿宋" w:hAnsi="仿宋" w:eastAsia="仿宋" w:cs="仿宋"/>
          <w:i w:val="0"/>
          <w:iCs w:val="0"/>
          <w:caps w:val="0"/>
          <w:color w:val="444444"/>
          <w:spacing w:val="0"/>
          <w:kern w:val="0"/>
          <w:sz w:val="32"/>
          <w:szCs w:val="32"/>
          <w:shd w:val="clear" w:color="090000" w:fill="FFFFFF"/>
          <w:lang w:val="en-US" w:eastAsia="zh-CN"/>
        </w:rPr>
        <w:t>。</w:t>
      </w:r>
    </w:p>
    <w:p w14:paraId="2B2A803E">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七）信用信息监督管理股。拟订全县市场主体信用监督管理制度措施。负责全县市场主体信用分类管理和信息公示工作。建立经营异常名录和严重违法企业名单管理及信用修复工作，承担市场主体监督管理信息和公示信息归集共享、联合惩戒的协调联系工作。组织实施对市场主体“双随机、一公开”监管和跨部门联合抽查的协调工作。负责市场监管大数据工作。</w:t>
      </w:r>
    </w:p>
    <w:p w14:paraId="5109CACF">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八）市场规范管理股。负责拟订全县规范市场秩序、反不正当竞争和直销监督管理、禁止传销的具体措施；承担规范维护各类市场经营秩序工作，监督管理有关市场交易行为；组织实施合同行政监督管理；依法监督管理经纪人、经纪机构及经纪活动、直销企业和直销员及直销活动，承担拍卖行为监督管理工作；管理动产抵押物登记工作；督查督办大案要案和典型案件；承担协调相关方面开展打击传销联合行动；组织开展市场专项治理工作。</w:t>
      </w:r>
    </w:p>
    <w:p w14:paraId="5119F42E">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九）知识产权与广告监督管理股。宣传知识产权法律、法规，负责全县知识产权工作和专利工作；解决处理知识产权纠纷，开展专利管理、专利执法、专利宣传、专利推广工作。负责全县的注册商标管理工作，组织查处商标侵权行为，保护注册商标专用权；负责推荐著名商标、驰名商标；制订全县商标发展战略；负责商标信息的收集管理工作；负责全县的广告管理工作；负责户外广告登记工作；监督管理全县广告经营单位的广告经营活动及其它各类广告活动；依法查处虚假广告及各类违法广告；指导全县的广告管理工作；负责全县地理标志产品保护工作。</w:t>
      </w:r>
    </w:p>
    <w:p w14:paraId="2D7A38E5">
      <w:pPr>
        <w:pStyle w:val="2"/>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600" w:lineRule="exact"/>
        <w:ind w:left="0" w:right="0" w:firstLine="640" w:firstLineChars="200"/>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sz w:val="32"/>
          <w:szCs w:val="32"/>
          <w:shd w:val="clear" w:color="080000" w:fill="FFFFFF"/>
        </w:rPr>
        <w:t>（十）消费者权益保护股。负责拟订全县流通领域商</w:t>
      </w:r>
    </w:p>
    <w:p w14:paraId="2CD51EAA">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质量监督管理和有关服务领域消费者权益保护的具体措施、办法；承担流通领域商品质量监督管理及抽查检验工作；组织开展有关服务领域消费维权工作；查处假冒伪劣等侵害消费者合法权益案件；承担监督管理网络市场经营秩序、网络商品交易及有关服务行为的工作，保护网络交易消费者合法权益；负责网络交易经营主体的信用分类管理；承担全县网络交易市场舆情监测工作；查处网络交易违法违规重大案件。</w:t>
      </w:r>
    </w:p>
    <w:p w14:paraId="46B90688">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十一）质量监督与认证管理股（挂锅炉压力容器与特种设备安全监察股）。组织实施全县质量发展政策措施和质量奖励制度，建立全县产品质量诚信制度，组织开展政府质量工作考核，推进实施名牌发展战略；承担产品质量统计分析工作；承担产品防伪的监督管理工作；承担全县工业产品生产许可证管理、产品质量安全强制检验和风险监控工作；指导和协调全县产品质量的行业和专业性监督工作；监督管理全县产品质量检验机构及仲裁检验、鉴定工作；负责食品包装材料、容器、食品生产经营工具等食品相关产品生产加工的监督管理；研究技术机构的改革与发展，提出技术机构及实验室建设规划、计划和科研经费年度计划方案并监督执行；组织开展相关科研和技术引进等工作；组织实施国家认证认可等方面的法律、法规；负责国家实施强制性认证与安全质量许可的监督管理工作；依法监督和规范认证市场，对相关的认证中介服务和技术评价行为进行监督管理。</w:t>
      </w:r>
    </w:p>
    <w:p w14:paraId="08ADE687">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负责全县锅炉、压力容器、压力管道、电梯、起重机械、客运索道、大型游乐设施、场（厂）内专用机动车辆等特种设备的安全监测、监督工作，监督检查全县特种设备的设计、制造、安装、改造、维修、使用、检验检测和进出口工作，按县政府规定权限组织调查处理特种设备事故并开展统计分析工作，监督管理全县特种设备检验检测机构和检验检测人员、作业人员的资质资格，监督检查高耗能特种设备节能标准的执行情况。</w:t>
      </w:r>
    </w:p>
    <w:p w14:paraId="3F32809D">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十二）标准计量股。组织实施国家、省标准化法律、法规；管理、协调和指导农业综合标准化、工业标准化和服务业标准化工作；推行国际标准和国外先进标准；组织实施并监督标准的贯彻执行；负责商品条码相关工作；组织实施国家、省计量法律、法规，负责推行国家法定计量单位，管理县级最高计量标准和社会公用计量标准；组织制定地方计量检定规程和技术规范；依法管理全县计量器具，组织量值传递、溯源和比对工作；规范和监督市场计量行为，组织计量仲裁检定；推行国际法制计量组织的计量器具证书制度；监督管理计量检定机构、社会公正计量机构及计量检定人员的资质资格；配合开展公共机构能源资源计量监督管理工作。</w:t>
      </w:r>
    </w:p>
    <w:p w14:paraId="0E1E16D0">
      <w:pPr>
        <w:pStyle w:val="2"/>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600" w:lineRule="exact"/>
        <w:ind w:left="0" w:right="0" w:firstLine="640" w:firstLineChars="200"/>
        <w:jc w:val="both"/>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sz w:val="32"/>
          <w:szCs w:val="32"/>
          <w:shd w:val="clear" w:color="080000" w:fill="FFFFFF"/>
        </w:rPr>
        <w:t>（十三）食品生产监管股(挂食品流通监管股)。</w:t>
      </w:r>
      <w:r>
        <w:rPr>
          <w:rFonts w:hint="eastAsia" w:ascii="仿宋" w:hAnsi="仿宋" w:eastAsia="仿宋" w:cs="仿宋"/>
          <w:i w:val="0"/>
          <w:iCs w:val="0"/>
          <w:caps w:val="0"/>
          <w:color w:val="000000"/>
          <w:spacing w:val="0"/>
          <w:sz w:val="32"/>
          <w:szCs w:val="32"/>
          <w:shd w:val="clear" w:color="080000" w:fill="FFFFFF"/>
        </w:rPr>
        <w:t>负责食品生产和流通环节安全监管工作，掌握分析食品安全形势、存在问题并提出完善制度、机制和改进工作的意见；制定食品抽检计划并监督实施；监督实施食品安全管理规范，参与制定和组织实施食品安全风险监测计划。负责保健食品监督管理工作；监督实施保健食品标准和技术规范；监督实施保健食品生产经营规范。组织实施并指导开展食盐生产、经营质量安全监督管理工作。</w:t>
      </w:r>
    </w:p>
    <w:p w14:paraId="05CE8FFA">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（十四）餐饮食品监管股。</w:t>
      </w:r>
      <w:r>
        <w:rPr>
          <w:rFonts w:hint="eastAsia" w:ascii="仿宋" w:hAnsi="仿宋" w:eastAsia="仿宋" w:cs="仿宋"/>
          <w:i w:val="0"/>
          <w:iCs w:val="0"/>
          <w:caps w:val="0"/>
          <w:color w:val="000000"/>
          <w:spacing w:val="0"/>
          <w:kern w:val="0"/>
          <w:sz w:val="32"/>
          <w:szCs w:val="32"/>
          <w:shd w:val="clear" w:color="090000" w:fill="FFFFFF"/>
          <w:lang w:val="en-US" w:eastAsia="zh-CN"/>
        </w:rPr>
        <w:t>负责餐饮服务环节食品（含食品餐饮摊贩）安全监管工作，掌握分析餐饮服务环节食品安全形势、存在问题并提出完善制度、机制和改进工作的意见；制定餐饮服务环节食品抽检计划并监督实施，组织开展重大活动餐饮服务食品安全保障工作，参与制定和组织实施餐饮服务环节食品安全风险监测计划。</w:t>
      </w:r>
    </w:p>
    <w:p w14:paraId="054AAE9B">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（十五）药品医疗器械监管股。</w:t>
      </w:r>
      <w:r>
        <w:rPr>
          <w:rFonts w:hint="eastAsia" w:ascii="仿宋" w:hAnsi="仿宋" w:eastAsia="仿宋" w:cs="仿宋"/>
          <w:i w:val="0"/>
          <w:iCs w:val="0"/>
          <w:caps w:val="0"/>
          <w:color w:val="000000"/>
          <w:spacing w:val="0"/>
          <w:kern w:val="0"/>
          <w:sz w:val="32"/>
          <w:szCs w:val="32"/>
          <w:shd w:val="clear" w:color="090000" w:fill="FFFFFF"/>
          <w:lang w:val="en-US" w:eastAsia="zh-CN"/>
        </w:rPr>
        <w:t>监督实施药品研制、生产、经营、使用等各项质量管理规范；监督实施药品法定标准和分类管理制度；负责药品不良反应监测和药物滥用监测工作；依法监管辖区内医疗用毒性药品、麻醉药品、精神药品、放射性药品、药品类易制毒化学品；负责药品广告监测工作。</w:t>
      </w:r>
    </w:p>
    <w:p w14:paraId="4B5574A8">
      <w:pPr>
        <w:pStyle w:val="2"/>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600" w:lineRule="exact"/>
        <w:ind w:left="0" w:right="0" w:firstLine="640" w:firstLineChars="200"/>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sz w:val="32"/>
          <w:szCs w:val="32"/>
          <w:shd w:val="clear" w:color="080000" w:fill="FFFFFF"/>
        </w:rPr>
        <w:t>负责医疗器械安全监管工作，监督实施医疗器械研制、生产、经营、使用等各项质量管理规范；监督实施医疗器械法定标准和分类管理制度；负责医疗器械不良事件报告工作；依法监管辖区内特种药械；负责医疗器械广告监测工作；负责药品、医疗器械抽检管理和不合格产品核查处置工作的牵头。</w:t>
      </w:r>
    </w:p>
    <w:p w14:paraId="0F9DC505">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仿宋" w:hAnsi="仿宋" w:eastAsia="仿宋" w:cs="仿宋"/>
          <w:i w:val="0"/>
          <w:iCs w:val="0"/>
          <w:caps w:val="0"/>
          <w:color w:val="444444"/>
          <w:spacing w:val="0"/>
          <w:kern w:val="0"/>
          <w:sz w:val="32"/>
          <w:szCs w:val="32"/>
          <w:shd w:val="clear" w:color="090000" w:fill="FFFFFF"/>
          <w:lang w:val="en-US" w:eastAsia="zh-CN"/>
        </w:rPr>
        <w:t>（十六）化妆品监管股。负责化妆品安全监管工作，掌握分析化妆品安全形势、存在问题并提出完善制度、机制和改进工作的意见；贯彻实施化妆品安全监管法规和政策，依法规范化妆品产销行为；制定化妆品抽验计划并监督实施；负责化妆品生产、流通环节的整顿和规范工作。实施化妆品问题产品召回处置制度。统一负责化妆品抽检管理和不合格产品核查处置工作的牵头。</w:t>
      </w:r>
    </w:p>
    <w:p w14:paraId="5B2C4990">
      <w:pPr>
        <w:pStyle w:val="2"/>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600" w:lineRule="exact"/>
        <w:ind w:left="0" w:right="0" w:firstLine="640" w:firstLineChars="200"/>
        <w:textAlignment w:val="auto"/>
        <w:rPr>
          <w:rFonts w:hint="eastAsia" w:ascii="黑体" w:hAnsi="宋体" w:eastAsia="黑体" w:cs="黑体"/>
          <w:i w:val="0"/>
          <w:iCs w:val="0"/>
          <w:caps w:val="0"/>
          <w:color w:val="444444"/>
          <w:spacing w:val="0"/>
          <w:kern w:val="0"/>
          <w:sz w:val="32"/>
          <w:szCs w:val="32"/>
          <w:shd w:val="clear" w:color="090000" w:fill="FFFFFF"/>
          <w:lang w:val="en-US" w:eastAsia="zh-CN"/>
        </w:rPr>
      </w:pPr>
      <w:r>
        <w:rPr>
          <w:rFonts w:hint="eastAsia" w:ascii="仿宋" w:hAnsi="仿宋" w:eastAsia="仿宋" w:cs="仿宋"/>
          <w:i w:val="0"/>
          <w:iCs w:val="0"/>
          <w:caps w:val="0"/>
          <w:color w:val="444444"/>
          <w:spacing w:val="0"/>
          <w:sz w:val="32"/>
          <w:szCs w:val="32"/>
          <w:shd w:val="clear" w:color="080000" w:fill="FFFFFF"/>
        </w:rPr>
        <w:t>中共渑池县非公有制经济组织工作委员会办公室。承担中共渑池县非公有制经济组织工作委员会日常工作，统筹指导全县非公制经济组织党的建设工作。</w:t>
      </w:r>
    </w:p>
    <w:p w14:paraId="7220C934">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三、部门预算单位构成：</w:t>
      </w:r>
    </w:p>
    <w:p w14:paraId="1FEB6281">
      <w:pPr>
        <w:pStyle w:val="2"/>
        <w:widowControl/>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600" w:lineRule="exact"/>
        <w:ind w:left="0" w:right="0" w:firstLine="640" w:firstLineChars="200"/>
        <w:textAlignment w:val="auto"/>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渑池县市场监督管理局</w:t>
      </w:r>
      <w:r>
        <w:rPr>
          <w:rFonts w:hint="eastAsia" w:ascii="仿宋" w:hAnsi="仿宋" w:eastAsia="仿宋" w:cs="仿宋"/>
          <w:i w:val="0"/>
          <w:iCs w:val="0"/>
          <w:caps w:val="0"/>
          <w:color w:val="444444"/>
          <w:spacing w:val="0"/>
          <w:sz w:val="32"/>
          <w:szCs w:val="32"/>
          <w:shd w:val="clear" w:color="080000" w:fill="FFFFFF"/>
        </w:rPr>
        <w:t>202</w:t>
      </w:r>
      <w:r>
        <w:rPr>
          <w:rFonts w:hint="eastAsia" w:ascii="仿宋" w:hAnsi="仿宋" w:eastAsia="仿宋" w:cs="仿宋"/>
          <w:i w:val="0"/>
          <w:iCs w:val="0"/>
          <w:caps w:val="0"/>
          <w:color w:val="444444"/>
          <w:spacing w:val="0"/>
          <w:sz w:val="32"/>
          <w:szCs w:val="32"/>
          <w:shd w:val="clear" w:color="080000" w:fill="FFFFFF"/>
          <w:lang w:val="en-US" w:eastAsia="zh-CN"/>
        </w:rPr>
        <w:t>5</w:t>
      </w:r>
      <w:r>
        <w:rPr>
          <w:rFonts w:hint="eastAsia" w:ascii="仿宋" w:hAnsi="仿宋" w:eastAsia="仿宋" w:cs="仿宋"/>
          <w:i w:val="0"/>
          <w:iCs w:val="0"/>
          <w:caps w:val="0"/>
          <w:color w:val="444444"/>
          <w:spacing w:val="0"/>
          <w:sz w:val="32"/>
          <w:szCs w:val="32"/>
          <w:shd w:val="clear" w:color="080000" w:fill="FFFFFF"/>
        </w:rPr>
        <w:t>年部门预算为本级预算。</w:t>
      </w:r>
    </w:p>
    <w:p w14:paraId="69FEFEB2">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center"/>
        <w:textAlignment w:val="auto"/>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第二部分</w:t>
      </w:r>
    </w:p>
    <w:p w14:paraId="53AAB233">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center"/>
        <w:textAlignment w:val="auto"/>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渑池县市场监督管理局2025年度部门预算情况说明</w:t>
      </w:r>
    </w:p>
    <w:p w14:paraId="301AB32A">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 </w:t>
      </w:r>
    </w:p>
    <w:p w14:paraId="2784F968">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一、收入支出预算总体情况说明</w:t>
      </w:r>
    </w:p>
    <w:p w14:paraId="13B2792E">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渑池县市场监督管理局202</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年收入总计</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2774.58</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万元，支出总计 </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2774.58</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万元，与202</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4</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年预算相比，收入</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增加243.81</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增加9.6</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%。主要原因是：</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增加公务员基础绩效奖、在职人员工资调整标准</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；支出</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增加243.81</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增加9.6</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%。主要原因是：</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人员工资增长</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w:t>
      </w:r>
    </w:p>
    <w:p w14:paraId="21C9C9B8">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二、收入预算总体情况说明</w:t>
      </w:r>
    </w:p>
    <w:p w14:paraId="3714376A">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渑池县市场监督管理局202</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年收入预算合计 </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2774.58</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万元，其中：一般公共预算收入</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2774.58</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 政府性基金收入0万元；财政专户管理资金0万元;其他收入0万元；上年结转结余0万元；上级转移支付0万元。</w:t>
      </w:r>
    </w:p>
    <w:p w14:paraId="2AA330BD">
      <w:pPr>
        <w:widowControl/>
        <w:numPr>
          <w:ilvl w:val="0"/>
          <w:numId w:val="0"/>
        </w:numPr>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600" w:lineRule="exact"/>
        <w:ind w:right="0" w:firstLine="640" w:firstLineChars="200"/>
        <w:jc w:val="left"/>
        <w:textAlignment w:val="auto"/>
        <w:rPr>
          <w:rFonts w:hint="eastAsia" w:ascii="黑体" w:hAnsi="宋体" w:eastAsia="黑体" w:cs="黑体"/>
          <w:i w:val="0"/>
          <w:iCs w:val="0"/>
          <w:caps w:val="0"/>
          <w:color w:val="444444"/>
          <w:spacing w:val="0"/>
          <w:kern w:val="0"/>
          <w:sz w:val="32"/>
          <w:szCs w:val="32"/>
          <w:shd w:val="clear" w:color="090000" w:fill="FFFFFF"/>
          <w:lang w:val="en-US" w:eastAsia="zh-CN"/>
        </w:rPr>
      </w:pPr>
      <w:r>
        <w:rPr>
          <w:rFonts w:hint="eastAsia" w:ascii="黑体" w:hAnsi="宋体" w:eastAsia="黑体" w:cs="黑体"/>
          <w:i w:val="0"/>
          <w:iCs w:val="0"/>
          <w:caps w:val="0"/>
          <w:color w:val="444444"/>
          <w:spacing w:val="0"/>
          <w:kern w:val="0"/>
          <w:sz w:val="32"/>
          <w:szCs w:val="32"/>
          <w:shd w:val="clear" w:color="090000" w:fill="FFFFFF"/>
          <w:lang w:val="en-US" w:eastAsia="zh-CN"/>
        </w:rPr>
        <w:t>三、支出预算总体情况说明</w:t>
      </w:r>
    </w:p>
    <w:p w14:paraId="608FA6D5">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right="0" w:firstLine="640" w:firstLineChars="200"/>
        <w:jc w:val="both"/>
        <w:textAlignment w:val="auto"/>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渑池县市场监督管理局202</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年支出预算合计</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2774.58</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 万元，其中：基本支出</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2392.25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万元，占</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85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%；项目支出</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382.33</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 万元，占</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15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 %。</w:t>
      </w:r>
    </w:p>
    <w:p w14:paraId="03E7F12B">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四、财政拨款收入支出预算总体情况说明</w:t>
      </w:r>
    </w:p>
    <w:p w14:paraId="78EA5083">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pP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渑池县市场监督管理局202</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年一般公共预算收支预算  </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2774.58</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万元，政府性基金收支预算</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0</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万元，国有资本经营预算收支预算</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0</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万元。与202</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4</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年相比，一般公共预算收支预算</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增加243.81</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增加9.6</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%，主要原因是：</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工资调资标准、增加公务员绩效工资</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；政府性基金收支预算增加0万元，增长0%，主要原因是：无此项预算；国有资本经营预算收支预算增加0万元，增长0%，主要原因是：无此项预算。</w:t>
      </w:r>
    </w:p>
    <w:p w14:paraId="38B3C328">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五、一般公共预算支出预算情况说明</w:t>
      </w:r>
    </w:p>
    <w:p w14:paraId="19469331">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渑池县市场监督管理局202</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年一般公共预算支出年初预算 </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2774.58</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其中：基本支出</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2392.25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万元，占</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85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%；项目支出</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382.33</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万元，占</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15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%。主要用于以下方面：一般公共服务支出 </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2290.98</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万元，占 </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82.57</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%；社会保障和就业支出 </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328.96</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万元，占</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11.86</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%；卫生健康支出</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0</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万元，占</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40</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%；住房保障支出</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154.63</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万元，占</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5.57</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w:t>
      </w:r>
    </w:p>
    <w:p w14:paraId="20B773DF">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六、一般公共预算基本支出预算情况说明</w:t>
      </w:r>
    </w:p>
    <w:p w14:paraId="0C5CD8A1">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pP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渑池县市场监督管理局202</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年一般公共预算基本支出  </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2392.25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万元，其中：</w:t>
      </w:r>
      <w:r>
        <w:rPr>
          <w:rFonts w:hint="default" w:ascii="仿宋_GB2312" w:hAnsi="微软雅黑" w:eastAsia="仿宋_GB2312" w:cs="仿宋_GB2312"/>
          <w:b/>
          <w:bCs/>
          <w:i w:val="0"/>
          <w:iCs w:val="0"/>
          <w:caps w:val="0"/>
          <w:color w:val="444444"/>
          <w:spacing w:val="-1"/>
          <w:kern w:val="0"/>
          <w:sz w:val="32"/>
          <w:szCs w:val="32"/>
          <w:shd w:val="clear" w:color="0B0000" w:fill="FFFFFF"/>
          <w:lang w:val="en-US" w:eastAsia="zh-CN"/>
        </w:rPr>
        <w:t>人员经费</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 </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2046.78</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占85.56%；</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主要包括：</w:t>
      </w:r>
      <w:r>
        <w:rPr>
          <w:rFonts w:hint="eastAsia" w:ascii="仿宋" w:hAnsi="仿宋" w:eastAsia="仿宋" w:cs="仿宋"/>
          <w:color w:val="auto"/>
          <w:sz w:val="32"/>
          <w:szCs w:val="32"/>
          <w:highlight w:val="none"/>
          <w:lang w:val="en-US" w:eastAsia="zh-CN"/>
        </w:rPr>
        <w:t>基本工资、津贴补贴、奖金、绩效工资、机关事业单位基本养老保险缴费、职业年金缴费、医疗保险缴费、其他社会保障缴费、住房公积金、其他工资福利支出、其他对个人和家庭的补助支出；</w:t>
      </w:r>
      <w:r>
        <w:rPr>
          <w:rFonts w:hint="default" w:ascii="仿宋_GB2312" w:hAnsi="微软雅黑" w:eastAsia="仿宋_GB2312" w:cs="仿宋_GB2312"/>
          <w:b/>
          <w:bCs/>
          <w:i w:val="0"/>
          <w:iCs w:val="0"/>
          <w:caps w:val="0"/>
          <w:color w:val="444444"/>
          <w:spacing w:val="-1"/>
          <w:kern w:val="0"/>
          <w:sz w:val="32"/>
          <w:szCs w:val="32"/>
          <w:shd w:val="clear" w:color="0B0000" w:fill="FFFFFF"/>
          <w:lang w:val="en-US" w:eastAsia="zh-CN"/>
        </w:rPr>
        <w:t>公用经费</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 </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345.47</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占14.44%；</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主要包括：</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单位水、电、电话费，工会经费、福利费，公务员车补，</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离退休</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公用经费。</w:t>
      </w:r>
    </w:p>
    <w:p w14:paraId="7B0687A2">
      <w:pPr>
        <w:widowControl/>
        <w:pBdr>
          <w:top w:val="none" w:color="auto" w:sz="0" w:space="0"/>
          <w:left w:val="none" w:color="auto" w:sz="0" w:space="0"/>
          <w:bottom w:val="none" w:color="auto" w:sz="0" w:space="0"/>
          <w:right w:val="none" w:color="auto" w:sz="0" w:space="0"/>
        </w:pBdr>
        <w:shd w:val="clear" w:color="auto" w:fill="FFFFFF"/>
        <w:wordWrap/>
        <w:adjustRightInd/>
        <w:snapToGrid/>
        <w:spacing w:before="0" w:beforeAutospacing="0" w:after="0" w:afterAutospacing="0" w:line="600" w:lineRule="exact"/>
        <w:ind w:left="0" w:right="0" w:firstLine="620" w:firstLineChars="200"/>
        <w:jc w:val="left"/>
        <w:textAlignment w:val="auto"/>
        <w:rPr>
          <w:rFonts w:hint="eastAsia" w:ascii="微软雅黑" w:hAnsi="微软雅黑" w:eastAsia="微软雅黑" w:cs="微软雅黑"/>
          <w:i w:val="0"/>
          <w:iCs w:val="0"/>
          <w:caps w:val="0"/>
          <w:color w:val="444444"/>
          <w:spacing w:val="0"/>
          <w:sz w:val="24"/>
          <w:szCs w:val="24"/>
        </w:rPr>
      </w:pPr>
      <w:r>
        <w:rPr>
          <w:rFonts w:ascii="黑体" w:hAnsi="宋体" w:eastAsia="黑体" w:cs="黑体"/>
          <w:i w:val="0"/>
          <w:iCs w:val="0"/>
          <w:caps w:val="0"/>
          <w:color w:val="444444"/>
          <w:spacing w:val="0"/>
          <w:kern w:val="0"/>
          <w:sz w:val="31"/>
          <w:szCs w:val="31"/>
          <w:shd w:val="clear" w:color="auto" w:fill="FFFFFF"/>
          <w:lang w:val="en-US" w:eastAsia="zh-CN"/>
        </w:rPr>
        <w:t>七、支出预算经济分类情况说明</w:t>
      </w:r>
    </w:p>
    <w:p w14:paraId="6F53D0D7">
      <w:pPr>
        <w:widowControl/>
        <w:pBdr>
          <w:top w:val="none" w:color="auto" w:sz="0" w:space="0"/>
          <w:left w:val="none" w:color="auto" w:sz="0" w:space="0"/>
          <w:bottom w:val="none" w:color="auto" w:sz="0" w:space="0"/>
          <w:right w:val="none" w:color="auto" w:sz="0" w:space="0"/>
        </w:pBdr>
        <w:shd w:val="clear" w:color="auto" w:fill="FFFFFF"/>
        <w:wordWrap/>
        <w:adjustRightInd/>
        <w:snapToGrid/>
        <w:spacing w:before="0" w:beforeAutospacing="0" w:after="0" w:afterAutospacing="0" w:line="600" w:lineRule="exact"/>
        <w:ind w:left="0" w:right="0" w:firstLine="620" w:firstLineChars="200"/>
        <w:jc w:val="left"/>
        <w:textAlignment w:val="auto"/>
        <w:rPr>
          <w:rFonts w:hint="eastAsia" w:ascii="微软雅黑" w:hAnsi="微软雅黑" w:eastAsia="微软雅黑" w:cs="微软雅黑"/>
          <w:i w:val="0"/>
          <w:iCs w:val="0"/>
          <w:caps w:val="0"/>
          <w:color w:val="444444"/>
          <w:spacing w:val="0"/>
          <w:sz w:val="24"/>
          <w:szCs w:val="24"/>
        </w:rPr>
      </w:pPr>
      <w:r>
        <w:rPr>
          <w:rFonts w:ascii="仿宋_GB2312" w:hAnsi="微软雅黑" w:eastAsia="仿宋_GB2312" w:cs="仿宋_GB2312"/>
          <w:i w:val="0"/>
          <w:iCs w:val="0"/>
          <w:caps w:val="0"/>
          <w:color w:val="444444"/>
          <w:spacing w:val="0"/>
          <w:kern w:val="0"/>
          <w:sz w:val="31"/>
          <w:szCs w:val="31"/>
          <w:shd w:val="clear" w:color="auto" w:fill="FFFFFF"/>
          <w:lang w:val="en-US" w:eastAsia="zh-CN"/>
        </w:rPr>
        <w:t>按照《财政部关于印发&lt;支出经济分类科目改革方案&gt; 的通知》(财预〔2017〕98 号)要求，从 2018 年起全面实施 支出经济分类科目改革，根据政府预算管理和部门预算管 理的不同特点，分设部门预算支出经济分类科目和政府预 算支出经济分类科目，两套科目之间保持对应关系。为适应改革要求，我单位《支出经济分类汇总表》按两套经济 分类科目分别反映不同资金来源的全部预算支出。</w:t>
      </w:r>
    </w:p>
    <w:p w14:paraId="2D3B2252">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八、“三公”经费支出预算情况说明</w:t>
      </w:r>
    </w:p>
    <w:p w14:paraId="6726DCFF">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渑池县市场监督管理局202</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 xml:space="preserve"> 年“三公”经费预算为</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57.95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万元。202</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年“三公”经费支出预算数比 202</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4</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 xml:space="preserve"> 年减少</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3.05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万元，下降</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w:t>
      </w:r>
    </w:p>
    <w:p w14:paraId="425FE36C">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具体支出情况如下： </w:t>
      </w:r>
    </w:p>
    <w:p w14:paraId="5544E646">
      <w:pPr>
        <w:numPr>
          <w:ilvl w:val="0"/>
          <w:numId w:val="0"/>
        </w:numPr>
        <w:ind w:firstLine="636" w:firstLineChars="200"/>
        <w:rPr>
          <w:rFonts w:hint="eastAsia" w:ascii="微软雅黑" w:hAnsi="微软雅黑" w:eastAsia="微软雅黑" w:cs="微软雅黑"/>
          <w:i w:val="0"/>
          <w:iCs w:val="0"/>
          <w:caps w:val="0"/>
          <w:color w:val="444444"/>
          <w:spacing w:val="0"/>
          <w:sz w:val="24"/>
          <w:szCs w:val="24"/>
        </w:rPr>
      </w:pPr>
      <w:r>
        <w:rPr>
          <w:rFonts w:ascii="楷体" w:hAnsi="楷体" w:eastAsia="楷体" w:cs="楷体"/>
          <w:i w:val="0"/>
          <w:iCs w:val="0"/>
          <w:caps w:val="0"/>
          <w:color w:val="444444"/>
          <w:spacing w:val="-1"/>
          <w:kern w:val="0"/>
          <w:sz w:val="32"/>
          <w:szCs w:val="32"/>
          <w:shd w:val="clear" w:color="090000" w:fill="FFFFFF"/>
          <w:lang w:val="en-US" w:eastAsia="zh-CN"/>
        </w:rPr>
        <w:t>（一）</w:t>
      </w:r>
      <w:r>
        <w:rPr>
          <w:rFonts w:hint="eastAsia" w:ascii="楷体" w:hAnsi="楷体" w:eastAsia="楷体" w:cs="仿宋_GB2312"/>
          <w:spacing w:val="-1"/>
          <w:kern w:val="0"/>
          <w:sz w:val="32"/>
          <w:szCs w:val="32"/>
        </w:rPr>
        <w:t>因公出国（境）费</w:t>
      </w:r>
      <w:r>
        <w:rPr>
          <w:rFonts w:hint="eastAsia" w:ascii="楷体" w:hAnsi="楷体" w:eastAsia="楷体"/>
          <w:sz w:val="32"/>
          <w:szCs w:val="32"/>
          <w:lang w:val="en-US" w:eastAsia="zh-CN"/>
        </w:rPr>
        <w:t>0</w:t>
      </w:r>
      <w:r>
        <w:rPr>
          <w:rFonts w:hint="eastAsia" w:ascii="楷体" w:hAnsi="楷体" w:eastAsia="楷体" w:cs="仿宋_GB2312"/>
          <w:spacing w:val="-1"/>
          <w:kern w:val="0"/>
          <w:sz w:val="32"/>
          <w:szCs w:val="32"/>
        </w:rPr>
        <w:t>万元，</w:t>
      </w:r>
      <w:r>
        <w:rPr>
          <w:rFonts w:hint="eastAsia" w:ascii="仿宋_GB2312" w:hAnsi="宋体" w:eastAsia="仿宋_GB2312" w:cs="Courier New"/>
          <w:sz w:val="32"/>
          <w:szCs w:val="32"/>
        </w:rPr>
        <w:t>主要用于单位工作人员公务出国（境）的住宿费、旅费、伙食补助费、杂费、培训费等支出。预算数与202</w:t>
      </w:r>
      <w:r>
        <w:rPr>
          <w:rFonts w:hint="eastAsia" w:ascii="仿宋_GB2312" w:hAnsi="宋体" w:eastAsia="仿宋_GB2312" w:cs="Courier New"/>
          <w:sz w:val="32"/>
          <w:szCs w:val="32"/>
          <w:lang w:val="en-US" w:eastAsia="zh-CN"/>
        </w:rPr>
        <w:t>4年下降0万元</w:t>
      </w:r>
      <w:r>
        <w:rPr>
          <w:rFonts w:hint="eastAsia" w:ascii="仿宋_GB2312" w:hAnsi="宋体" w:eastAsia="仿宋_GB2312" w:cs="Courier New"/>
          <w:sz w:val="32"/>
          <w:szCs w:val="32"/>
          <w:lang w:eastAsia="zh-CN"/>
        </w:rPr>
        <w:t>，</w:t>
      </w:r>
      <w:r>
        <w:rPr>
          <w:rFonts w:hint="eastAsia" w:ascii="仿宋_GB2312" w:hAnsi="宋体" w:eastAsia="仿宋_GB2312" w:cs="Courier New"/>
          <w:sz w:val="32"/>
          <w:szCs w:val="32"/>
          <w:lang w:val="en-US" w:eastAsia="zh-CN"/>
        </w:rPr>
        <w:t>下降0%；主要原因是无出国境业务</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w:t>
      </w:r>
    </w:p>
    <w:p w14:paraId="412656B9">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36"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楷体" w:hAnsi="楷体" w:eastAsia="楷体" w:cs="楷体"/>
          <w:i w:val="0"/>
          <w:iCs w:val="0"/>
          <w:caps w:val="0"/>
          <w:color w:val="444444"/>
          <w:spacing w:val="-1"/>
          <w:kern w:val="0"/>
          <w:sz w:val="32"/>
          <w:szCs w:val="32"/>
          <w:shd w:val="clear" w:color="090000" w:fill="FFFFFF"/>
          <w:lang w:val="en-US" w:eastAsia="zh-CN"/>
        </w:rPr>
        <w:t>（二）公务接待费24.7</w:t>
      </w:r>
      <w:r>
        <w:rPr>
          <w:rFonts w:hint="eastAsia" w:ascii="楷体" w:hAnsi="楷体" w:eastAsia="楷体" w:cs="楷体"/>
          <w:i w:val="0"/>
          <w:iCs w:val="0"/>
          <w:caps w:val="0"/>
          <w:color w:val="444444"/>
          <w:spacing w:val="0"/>
          <w:kern w:val="0"/>
          <w:sz w:val="32"/>
          <w:szCs w:val="32"/>
          <w:shd w:val="clear" w:color="090000" w:fill="FFFFFF"/>
          <w:lang w:val="en-US" w:eastAsia="zh-CN"/>
        </w:rPr>
        <w:t>万元，</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主要用于按规定开支的各类公务接待（含外宾接待）支出。预算数比 202</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4</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 xml:space="preserve"> 年减少</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1.3</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万元，下降</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%。原因：严格控制“三公”经费支出，压减公务接待费。</w:t>
      </w:r>
    </w:p>
    <w:p w14:paraId="113D8EA6">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36"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楷体" w:hAnsi="楷体" w:eastAsia="楷体" w:cs="楷体"/>
          <w:i w:val="0"/>
          <w:iCs w:val="0"/>
          <w:caps w:val="0"/>
          <w:color w:val="444444"/>
          <w:spacing w:val="-1"/>
          <w:kern w:val="0"/>
          <w:sz w:val="32"/>
          <w:szCs w:val="32"/>
          <w:shd w:val="clear" w:color="090000" w:fill="FFFFFF"/>
          <w:lang w:val="en-US" w:eastAsia="zh-CN"/>
        </w:rPr>
        <w:t>（三）公务用车购置及运行费35</w:t>
      </w:r>
      <w:r>
        <w:rPr>
          <w:rFonts w:hint="eastAsia" w:ascii="楷体" w:hAnsi="楷体" w:eastAsia="楷体" w:cs="楷体"/>
          <w:i w:val="0"/>
          <w:iCs w:val="0"/>
          <w:caps w:val="0"/>
          <w:color w:val="444444"/>
          <w:spacing w:val="0"/>
          <w:kern w:val="0"/>
          <w:sz w:val="32"/>
          <w:szCs w:val="32"/>
          <w:shd w:val="clear" w:color="090000" w:fill="FFFFFF"/>
          <w:lang w:val="en-US" w:eastAsia="zh-CN"/>
        </w:rPr>
        <w:t>万元，</w:t>
      </w:r>
      <w:r>
        <w:rPr>
          <w:rFonts w:hint="eastAsia" w:ascii="仿宋_GB2312" w:hAnsi="Calibri" w:eastAsia="仿宋_GB2312" w:cs="Times New Roman"/>
          <w:kern w:val="2"/>
          <w:sz w:val="32"/>
          <w:szCs w:val="32"/>
          <w:highlight w:val="none"/>
          <w:lang w:val="en-US" w:eastAsia="zh-CN" w:bidi="ar-SA"/>
        </w:rPr>
        <w:t>其中，公务用车购置费0万元，主要用于公务用车购置，比202</w:t>
      </w:r>
      <w:r>
        <w:rPr>
          <w:rFonts w:hint="eastAsia" w:ascii="仿宋_GB2312" w:eastAsia="仿宋_GB2312" w:cs="Times New Roman"/>
          <w:kern w:val="2"/>
          <w:sz w:val="32"/>
          <w:szCs w:val="32"/>
          <w:highlight w:val="none"/>
          <w:lang w:val="en-US" w:eastAsia="zh-CN" w:bidi="ar-SA"/>
        </w:rPr>
        <w:t>4</w:t>
      </w:r>
      <w:r>
        <w:rPr>
          <w:rFonts w:hint="eastAsia" w:ascii="仿宋_GB2312" w:hAnsi="Calibri" w:eastAsia="仿宋_GB2312" w:cs="Times New Roman"/>
          <w:kern w:val="2"/>
          <w:sz w:val="32"/>
          <w:szCs w:val="32"/>
          <w:highlight w:val="none"/>
          <w:lang w:val="en-US" w:eastAsia="zh-CN" w:bidi="ar-SA"/>
        </w:rPr>
        <w:t>年减少</w:t>
      </w:r>
      <w:r>
        <w:rPr>
          <w:rFonts w:hint="eastAsia" w:ascii="仿宋_GB2312" w:eastAsia="仿宋_GB2312" w:cs="Times New Roman"/>
          <w:kern w:val="2"/>
          <w:sz w:val="32"/>
          <w:szCs w:val="32"/>
          <w:highlight w:val="none"/>
          <w:lang w:val="en-US" w:eastAsia="zh-CN" w:bidi="ar-SA"/>
        </w:rPr>
        <w:t>0</w:t>
      </w:r>
      <w:r>
        <w:rPr>
          <w:rFonts w:hint="eastAsia" w:ascii="仿宋_GB2312" w:hAnsi="Calibri" w:eastAsia="仿宋_GB2312" w:cs="Times New Roman"/>
          <w:kern w:val="2"/>
          <w:sz w:val="32"/>
          <w:szCs w:val="32"/>
          <w:highlight w:val="none"/>
          <w:lang w:val="en-US" w:eastAsia="zh-CN" w:bidi="ar-SA"/>
        </w:rPr>
        <w:t>万元，下降</w:t>
      </w:r>
      <w:r>
        <w:rPr>
          <w:rFonts w:hint="eastAsia" w:ascii="仿宋_GB2312" w:eastAsia="仿宋_GB2312" w:cs="Times New Roman"/>
          <w:kern w:val="2"/>
          <w:sz w:val="32"/>
          <w:szCs w:val="32"/>
          <w:highlight w:val="none"/>
          <w:lang w:val="en-US" w:eastAsia="zh-CN" w:bidi="ar-SA"/>
        </w:rPr>
        <w:t>0</w:t>
      </w:r>
      <w:r>
        <w:rPr>
          <w:rFonts w:hint="eastAsia" w:ascii="仿宋_GB2312" w:hAnsi="Calibri" w:eastAsia="仿宋_GB2312" w:cs="Times New Roman"/>
          <w:kern w:val="2"/>
          <w:sz w:val="32"/>
          <w:szCs w:val="32"/>
          <w:highlight w:val="none"/>
          <w:lang w:val="en-US" w:eastAsia="zh-CN" w:bidi="ar-SA"/>
        </w:rPr>
        <w:t>%，主要原因是：无购买车辆需求；</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公务用车运行维护费 </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33.25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万元，主要用于开展工作所需公务用车的燃料费、维修费、过路过桥费、保险费、安全奖励费用等支出。公务用车运行维护费预算数比 202</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4</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年减少 </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1.75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万元，下降5%。原因：严格控制“三公”经费支出，压减公务用车购置及运行费。</w:t>
      </w:r>
    </w:p>
    <w:p w14:paraId="77EB5AF5">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九、政府性基金预算支出预算情况说明</w:t>
      </w:r>
    </w:p>
    <w:p w14:paraId="6DFACC24">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我单位无政府性基金收支安排。</w:t>
      </w:r>
    </w:p>
    <w:p w14:paraId="3AF8C7DD">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36"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1"/>
          <w:kern w:val="0"/>
          <w:sz w:val="32"/>
          <w:szCs w:val="32"/>
          <w:shd w:val="clear" w:color="090000" w:fill="FFFFFF"/>
          <w:lang w:val="en-US" w:eastAsia="zh-CN"/>
        </w:rPr>
        <w:t>十、其他重要事项的情况说明</w:t>
      </w:r>
    </w:p>
    <w:p w14:paraId="369842E3">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楷体" w:hAnsi="楷体" w:eastAsia="楷体" w:cs="楷体"/>
          <w:i w:val="0"/>
          <w:iCs w:val="0"/>
          <w:caps w:val="0"/>
          <w:color w:val="444444"/>
          <w:spacing w:val="0"/>
          <w:kern w:val="0"/>
          <w:sz w:val="32"/>
          <w:szCs w:val="32"/>
          <w:shd w:val="clear" w:color="090000" w:fill="FFFFFF"/>
          <w:lang w:val="en-US" w:eastAsia="zh-CN"/>
        </w:rPr>
        <w:t>（一）机关运行经费支出情况</w:t>
      </w:r>
    </w:p>
    <w:p w14:paraId="4453334D">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pP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渑池县市场监督管理局202</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年机关运行经费支出预算</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345.47</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万元，主要保障机构正常运转及正常履职需要，比202</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4</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年</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增加110.23</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增长36</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主要原因是：人员公用经费标准提高。</w:t>
      </w:r>
    </w:p>
    <w:p w14:paraId="6522B4B4">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微软雅黑" w:hAnsi="微软雅黑" w:eastAsia="微软雅黑" w:cs="微软雅黑"/>
          <w:i w:val="0"/>
          <w:iCs w:val="0"/>
          <w:caps w:val="0"/>
          <w:color w:val="444444"/>
          <w:spacing w:val="0"/>
          <w:sz w:val="24"/>
          <w:szCs w:val="24"/>
        </w:rPr>
      </w:pPr>
      <w:r>
        <w:rPr>
          <w:rFonts w:hint="eastAsia" w:ascii="楷体" w:hAnsi="楷体" w:eastAsia="楷体" w:cs="楷体"/>
          <w:i w:val="0"/>
          <w:iCs w:val="0"/>
          <w:caps w:val="0"/>
          <w:color w:val="444444"/>
          <w:spacing w:val="0"/>
          <w:kern w:val="0"/>
          <w:sz w:val="32"/>
          <w:szCs w:val="32"/>
          <w:shd w:val="clear" w:color="090000" w:fill="FFFFFF"/>
          <w:lang w:val="en-US" w:eastAsia="zh-CN"/>
        </w:rPr>
        <w:t>（二）政府采购支出情况</w:t>
      </w:r>
    </w:p>
    <w:p w14:paraId="6AA9FAA4">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both"/>
        <w:textAlignment w:val="auto"/>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202</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年政府采购预算安排</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179</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万元，其中：政府采购货物预算</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64</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万元、政府采购工程预算</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30</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万元、政府采购服务预算</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85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万元。</w:t>
      </w:r>
    </w:p>
    <w:p w14:paraId="2DB71D78">
      <w:pPr>
        <w:widowControl/>
        <w:numPr>
          <w:ilvl w:val="0"/>
          <w:numId w:val="2"/>
        </w:numPr>
        <w:pBdr>
          <w:top w:val="none" w:color="auto" w:sz="0" w:space="0"/>
          <w:left w:val="none" w:color="auto" w:sz="0" w:space="0"/>
          <w:bottom w:val="none" w:color="auto" w:sz="0" w:space="0"/>
          <w:right w:val="none" w:color="auto" w:sz="0" w:space="0"/>
        </w:pBdr>
        <w:shd w:val="clear" w:color="070000" w:fill="FFFFFF"/>
        <w:wordWrap/>
        <w:adjustRightInd/>
        <w:snapToGrid/>
        <w:spacing w:before="0" w:beforeAutospacing="0" w:after="0" w:afterAutospacing="0" w:line="600" w:lineRule="exact"/>
        <w:ind w:left="0" w:right="0" w:firstLine="640" w:firstLineChars="200"/>
        <w:jc w:val="left"/>
        <w:textAlignment w:val="auto"/>
        <w:rPr>
          <w:rFonts w:hint="eastAsia" w:ascii="楷体" w:hAnsi="楷体" w:eastAsia="楷体" w:cs="楷体"/>
          <w:i w:val="0"/>
          <w:iCs w:val="0"/>
          <w:caps w:val="0"/>
          <w:color w:val="444444"/>
          <w:spacing w:val="0"/>
          <w:kern w:val="0"/>
          <w:sz w:val="32"/>
          <w:szCs w:val="32"/>
          <w:shd w:val="clear" w:color="090000" w:fill="FFFFFF"/>
          <w:lang w:val="en-US" w:eastAsia="zh-CN"/>
        </w:rPr>
      </w:pPr>
      <w:r>
        <w:rPr>
          <w:rFonts w:hint="eastAsia" w:ascii="楷体" w:hAnsi="楷体" w:eastAsia="楷体" w:cs="楷体"/>
          <w:i w:val="0"/>
          <w:iCs w:val="0"/>
          <w:caps w:val="0"/>
          <w:color w:val="444444"/>
          <w:spacing w:val="0"/>
          <w:kern w:val="0"/>
          <w:sz w:val="32"/>
          <w:szCs w:val="32"/>
          <w:shd w:val="clear" w:color="090000" w:fill="FFFFFF"/>
          <w:lang w:val="en-US" w:eastAsia="zh-CN"/>
        </w:rPr>
        <w:t>关于预算绩效管理工作开展情况说明</w:t>
      </w:r>
    </w:p>
    <w:p w14:paraId="1E8716CD">
      <w:pPr>
        <w:widowControl w:val="0"/>
        <w:wordWrap/>
        <w:adjustRightInd/>
        <w:snapToGrid/>
        <w:spacing w:line="578" w:lineRule="exact"/>
        <w:ind w:firstLine="640"/>
        <w:jc w:val="both"/>
        <w:textAlignment w:val="auto"/>
        <w:rPr>
          <w:rFonts w:hint="eastAsia" w:ascii="仿宋_GB2312" w:hAnsi="Calibri" w:eastAsia="仿宋_GB2312" w:cs="Times New Roman"/>
          <w:color w:val="auto"/>
          <w:kern w:val="2"/>
          <w:sz w:val="32"/>
          <w:szCs w:val="32"/>
          <w:highlight w:val="none"/>
          <w:lang w:val="en-US" w:eastAsia="zh-CN" w:bidi="ar-SA"/>
        </w:rPr>
      </w:pPr>
      <w:r>
        <w:rPr>
          <w:rFonts w:hint="eastAsia" w:ascii="仿宋_GB2312" w:hAnsi="Calibri" w:eastAsia="仿宋_GB2312" w:cs="Times New Roman"/>
          <w:color w:val="auto"/>
          <w:kern w:val="2"/>
          <w:sz w:val="32"/>
          <w:szCs w:val="32"/>
          <w:highlight w:val="none"/>
          <w:lang w:val="en-US" w:eastAsia="zh-CN" w:bidi="ar-SA"/>
        </w:rPr>
        <w:t>我部门202</w:t>
      </w:r>
      <w:r>
        <w:rPr>
          <w:rFonts w:hint="eastAsia" w:ascii="仿宋_GB2312" w:eastAsia="仿宋_GB2312" w:cs="Times New Roman"/>
          <w:color w:val="auto"/>
          <w:kern w:val="2"/>
          <w:sz w:val="32"/>
          <w:szCs w:val="32"/>
          <w:highlight w:val="none"/>
          <w:lang w:val="en-US" w:eastAsia="zh-CN" w:bidi="ar-SA"/>
        </w:rPr>
        <w:t>5</w:t>
      </w:r>
      <w:r>
        <w:rPr>
          <w:rFonts w:hint="eastAsia" w:ascii="仿宋_GB2312" w:hAnsi="Calibri" w:eastAsia="仿宋_GB2312" w:cs="Times New Roman"/>
          <w:color w:val="auto"/>
          <w:kern w:val="2"/>
          <w:sz w:val="32"/>
          <w:szCs w:val="32"/>
          <w:highlight w:val="none"/>
          <w:lang w:val="en-US" w:eastAsia="zh-CN" w:bidi="ar-SA"/>
        </w:rPr>
        <w:t>年预算项目均按要求编制了绩效目标，从项目产出、项目效益、满意度等方面设置了绩效目标，综合反映项目预期完成的数量、实效、质量，预期达到的社会经济效益、可持续影响以及服务对象满意度等情况。</w:t>
      </w:r>
    </w:p>
    <w:p w14:paraId="5296CF68">
      <w:pPr>
        <w:widowControl w:val="0"/>
        <w:wordWrap/>
        <w:adjustRightInd/>
        <w:snapToGrid/>
        <w:spacing w:line="578" w:lineRule="exact"/>
        <w:ind w:firstLine="640"/>
        <w:jc w:val="both"/>
        <w:textAlignment w:val="auto"/>
        <w:rPr>
          <w:rFonts w:hint="eastAsia" w:ascii="仿宋_GB2312" w:hAnsi="仿宋_GB2312" w:eastAsia="仿宋_GB2312" w:cs="仿宋_GB2312"/>
          <w:i w:val="0"/>
          <w:iCs w:val="0"/>
          <w:caps w:val="0"/>
          <w:color w:val="444444"/>
          <w:spacing w:val="0"/>
          <w:kern w:val="0"/>
          <w:sz w:val="32"/>
          <w:szCs w:val="32"/>
          <w:shd w:val="clear" w:color="090000" w:fill="FFFFFF"/>
          <w:lang w:val="en-US" w:eastAsia="zh-CN"/>
        </w:rPr>
      </w:pPr>
      <w:r>
        <w:rPr>
          <w:rFonts w:hint="eastAsia" w:ascii="仿宋_GB2312" w:hAnsi="Calibri" w:eastAsia="仿宋_GB2312" w:cs="Times New Roman"/>
          <w:color w:val="auto"/>
          <w:kern w:val="2"/>
          <w:sz w:val="32"/>
          <w:szCs w:val="32"/>
          <w:highlight w:val="none"/>
          <w:lang w:val="en-US" w:eastAsia="zh-CN" w:bidi="ar-SA"/>
        </w:rPr>
        <w:t>202</w:t>
      </w:r>
      <w:r>
        <w:rPr>
          <w:rFonts w:hint="eastAsia" w:ascii="仿宋_GB2312" w:eastAsia="仿宋_GB2312" w:cs="Times New Roman"/>
          <w:color w:val="auto"/>
          <w:kern w:val="2"/>
          <w:sz w:val="32"/>
          <w:szCs w:val="32"/>
          <w:highlight w:val="none"/>
          <w:lang w:val="en-US" w:eastAsia="zh-CN" w:bidi="ar-SA"/>
        </w:rPr>
        <w:t>5</w:t>
      </w:r>
      <w:r>
        <w:rPr>
          <w:rFonts w:hint="eastAsia" w:ascii="仿宋_GB2312" w:hAnsi="Calibri" w:eastAsia="仿宋_GB2312" w:cs="Times New Roman"/>
          <w:color w:val="auto"/>
          <w:kern w:val="2"/>
          <w:sz w:val="32"/>
          <w:szCs w:val="32"/>
          <w:highlight w:val="none"/>
          <w:lang w:val="en-US" w:eastAsia="zh-CN" w:bidi="ar-SA"/>
        </w:rPr>
        <w:t>年，我部门纳入预算绩效管理的支出总额为</w:t>
      </w:r>
      <w:r>
        <w:rPr>
          <w:rFonts w:hint="eastAsia" w:ascii="仿宋_GB2312" w:eastAsia="仿宋_GB2312" w:cs="Times New Roman"/>
          <w:color w:val="auto"/>
          <w:kern w:val="2"/>
          <w:sz w:val="32"/>
          <w:szCs w:val="32"/>
          <w:highlight w:val="none"/>
          <w:lang w:val="en-US" w:eastAsia="zh-CN" w:bidi="ar-SA"/>
        </w:rPr>
        <w:t>2774.58</w:t>
      </w:r>
      <w:r>
        <w:rPr>
          <w:rFonts w:hint="eastAsia" w:ascii="仿宋_GB2312" w:hAnsi="Calibri" w:eastAsia="仿宋_GB2312" w:cs="Times New Roman"/>
          <w:color w:val="auto"/>
          <w:kern w:val="2"/>
          <w:sz w:val="32"/>
          <w:szCs w:val="32"/>
          <w:highlight w:val="none"/>
          <w:lang w:val="en-US" w:eastAsia="zh-CN" w:bidi="ar-SA"/>
        </w:rPr>
        <w:t>万元，其中人员经费支出</w:t>
      </w:r>
      <w:r>
        <w:rPr>
          <w:rFonts w:hint="eastAsia" w:ascii="仿宋_GB2312" w:eastAsia="仿宋_GB2312" w:cs="Times New Roman"/>
          <w:color w:val="auto"/>
          <w:kern w:val="2"/>
          <w:sz w:val="32"/>
          <w:szCs w:val="32"/>
          <w:highlight w:val="none"/>
          <w:lang w:val="en-US" w:eastAsia="zh-CN" w:bidi="ar-SA"/>
        </w:rPr>
        <w:t>2046.78</w:t>
      </w:r>
      <w:r>
        <w:rPr>
          <w:rFonts w:hint="eastAsia" w:ascii="仿宋_GB2312" w:hAnsi="Calibri" w:eastAsia="仿宋_GB2312" w:cs="Times New Roman"/>
          <w:color w:val="auto"/>
          <w:kern w:val="2"/>
          <w:sz w:val="32"/>
          <w:szCs w:val="32"/>
          <w:highlight w:val="none"/>
          <w:lang w:val="en-US" w:eastAsia="zh-CN" w:bidi="ar-SA"/>
        </w:rPr>
        <w:t>万元，公用经费支出</w:t>
      </w:r>
      <w:r>
        <w:rPr>
          <w:rFonts w:hint="eastAsia" w:ascii="仿宋_GB2312" w:eastAsia="仿宋_GB2312" w:cs="Times New Roman"/>
          <w:color w:val="auto"/>
          <w:kern w:val="2"/>
          <w:sz w:val="32"/>
          <w:szCs w:val="32"/>
          <w:highlight w:val="none"/>
          <w:lang w:val="en-US" w:eastAsia="zh-CN" w:bidi="ar-SA"/>
        </w:rPr>
        <w:t>345.47</w:t>
      </w:r>
      <w:r>
        <w:rPr>
          <w:rFonts w:hint="eastAsia" w:ascii="仿宋_GB2312" w:hAnsi="Calibri" w:eastAsia="仿宋_GB2312" w:cs="Times New Roman"/>
          <w:color w:val="auto"/>
          <w:kern w:val="2"/>
          <w:sz w:val="32"/>
          <w:szCs w:val="32"/>
          <w:highlight w:val="none"/>
          <w:lang w:val="en-US" w:eastAsia="zh-CN" w:bidi="ar-SA"/>
        </w:rPr>
        <w:t>万元，支出项目共</w:t>
      </w:r>
      <w:r>
        <w:rPr>
          <w:rFonts w:hint="eastAsia" w:ascii="仿宋_GB2312" w:eastAsia="仿宋_GB2312" w:cs="Times New Roman"/>
          <w:color w:val="auto"/>
          <w:kern w:val="2"/>
          <w:sz w:val="32"/>
          <w:szCs w:val="32"/>
          <w:highlight w:val="none"/>
          <w:lang w:val="en-US" w:eastAsia="zh-CN" w:bidi="ar-SA"/>
        </w:rPr>
        <w:t>8</w:t>
      </w:r>
      <w:r>
        <w:rPr>
          <w:rFonts w:hint="eastAsia" w:ascii="仿宋_GB2312" w:hAnsi="Calibri" w:eastAsia="仿宋_GB2312" w:cs="Times New Roman"/>
          <w:color w:val="auto"/>
          <w:kern w:val="2"/>
          <w:sz w:val="32"/>
          <w:szCs w:val="32"/>
          <w:highlight w:val="none"/>
          <w:lang w:val="en-US" w:eastAsia="zh-CN" w:bidi="ar-SA"/>
        </w:rPr>
        <w:t>个，支出总额</w:t>
      </w:r>
      <w:r>
        <w:rPr>
          <w:rFonts w:hint="eastAsia" w:ascii="仿宋_GB2312" w:eastAsia="仿宋_GB2312" w:cs="Times New Roman"/>
          <w:color w:val="auto"/>
          <w:kern w:val="2"/>
          <w:sz w:val="32"/>
          <w:szCs w:val="32"/>
          <w:highlight w:val="none"/>
          <w:lang w:val="en-US" w:eastAsia="zh-CN" w:bidi="ar-SA"/>
        </w:rPr>
        <w:t>382.33</w:t>
      </w:r>
      <w:r>
        <w:rPr>
          <w:rFonts w:hint="eastAsia" w:ascii="仿宋_GB2312" w:hAnsi="Calibri" w:eastAsia="仿宋_GB2312" w:cs="Times New Roman"/>
          <w:color w:val="auto"/>
          <w:kern w:val="2"/>
          <w:sz w:val="32"/>
          <w:szCs w:val="32"/>
          <w:highlight w:val="none"/>
          <w:lang w:val="en-US" w:eastAsia="zh-CN" w:bidi="ar-SA"/>
        </w:rPr>
        <w:t>万元，其中预算支出100万元及100万元以上项目</w:t>
      </w:r>
      <w:r>
        <w:rPr>
          <w:rFonts w:hint="eastAsia" w:ascii="仿宋_GB2312" w:eastAsia="仿宋_GB2312" w:cs="Times New Roman"/>
          <w:color w:val="auto"/>
          <w:kern w:val="2"/>
          <w:sz w:val="32"/>
          <w:szCs w:val="32"/>
          <w:highlight w:val="none"/>
          <w:lang w:val="en-US" w:eastAsia="zh-CN" w:bidi="ar-SA"/>
        </w:rPr>
        <w:t>0</w:t>
      </w:r>
      <w:r>
        <w:rPr>
          <w:rFonts w:hint="eastAsia" w:ascii="仿宋_GB2312" w:hAnsi="Calibri" w:eastAsia="仿宋_GB2312" w:cs="Times New Roman"/>
          <w:color w:val="auto"/>
          <w:kern w:val="2"/>
          <w:sz w:val="32"/>
          <w:szCs w:val="32"/>
          <w:highlight w:val="none"/>
          <w:lang w:val="en-US" w:eastAsia="zh-CN" w:bidi="ar-SA"/>
        </w:rPr>
        <w:t>个，支出总额</w:t>
      </w:r>
      <w:r>
        <w:rPr>
          <w:rFonts w:hint="eastAsia" w:ascii="仿宋_GB2312" w:eastAsia="仿宋_GB2312" w:cs="Times New Roman"/>
          <w:color w:val="auto"/>
          <w:kern w:val="2"/>
          <w:sz w:val="32"/>
          <w:szCs w:val="32"/>
          <w:highlight w:val="none"/>
          <w:lang w:val="en-US" w:eastAsia="zh-CN" w:bidi="ar-SA"/>
        </w:rPr>
        <w:t>0</w:t>
      </w:r>
      <w:r>
        <w:rPr>
          <w:rFonts w:hint="eastAsia" w:ascii="仿宋_GB2312" w:hAnsi="Calibri" w:eastAsia="仿宋_GB2312" w:cs="Times New Roman"/>
          <w:color w:val="auto"/>
          <w:kern w:val="2"/>
          <w:sz w:val="32"/>
          <w:szCs w:val="32"/>
          <w:highlight w:val="none"/>
          <w:lang w:val="en-US" w:eastAsia="zh-CN" w:bidi="ar-SA"/>
        </w:rPr>
        <w:t>万元。202</w:t>
      </w:r>
      <w:r>
        <w:rPr>
          <w:rFonts w:hint="eastAsia" w:ascii="仿宋_GB2312" w:eastAsia="仿宋_GB2312" w:cs="Times New Roman"/>
          <w:color w:val="auto"/>
          <w:kern w:val="2"/>
          <w:sz w:val="32"/>
          <w:szCs w:val="32"/>
          <w:highlight w:val="none"/>
          <w:lang w:val="en-US" w:eastAsia="zh-CN" w:bidi="ar-SA"/>
        </w:rPr>
        <w:t>5</w:t>
      </w:r>
      <w:r>
        <w:rPr>
          <w:rFonts w:hint="eastAsia" w:ascii="仿宋_GB2312" w:hAnsi="Calibri" w:eastAsia="仿宋_GB2312" w:cs="Times New Roman"/>
          <w:color w:val="auto"/>
          <w:kern w:val="2"/>
          <w:sz w:val="32"/>
          <w:szCs w:val="32"/>
          <w:highlight w:val="none"/>
          <w:lang w:val="en-US" w:eastAsia="zh-CN" w:bidi="ar-SA"/>
        </w:rPr>
        <w:t>年我部门拟组织对</w:t>
      </w:r>
      <w:r>
        <w:rPr>
          <w:rFonts w:hint="eastAsia" w:ascii="仿宋_GB2312" w:eastAsia="仿宋_GB2312" w:cs="Times New Roman"/>
          <w:color w:val="auto"/>
          <w:kern w:val="2"/>
          <w:sz w:val="32"/>
          <w:szCs w:val="32"/>
          <w:highlight w:val="none"/>
          <w:lang w:val="en-US" w:eastAsia="zh-CN" w:bidi="ar-SA"/>
        </w:rPr>
        <w:t>8</w:t>
      </w:r>
      <w:r>
        <w:rPr>
          <w:rFonts w:hint="eastAsia" w:ascii="仿宋_GB2312" w:hAnsi="Calibri" w:eastAsia="仿宋_GB2312" w:cs="Times New Roman"/>
          <w:color w:val="auto"/>
          <w:kern w:val="2"/>
          <w:sz w:val="32"/>
          <w:szCs w:val="32"/>
          <w:highlight w:val="none"/>
          <w:lang w:val="en-US" w:eastAsia="zh-CN" w:bidi="ar-SA"/>
        </w:rPr>
        <w:t>个项目进行预算绩效评价，涉及资金</w:t>
      </w:r>
      <w:r>
        <w:rPr>
          <w:rFonts w:hint="eastAsia" w:ascii="仿宋_GB2312" w:eastAsia="仿宋_GB2312" w:cs="Times New Roman"/>
          <w:color w:val="auto"/>
          <w:kern w:val="2"/>
          <w:sz w:val="32"/>
          <w:szCs w:val="32"/>
          <w:highlight w:val="none"/>
          <w:lang w:val="en-US" w:eastAsia="zh-CN" w:bidi="ar-SA"/>
        </w:rPr>
        <w:t>382.33</w:t>
      </w:r>
      <w:r>
        <w:rPr>
          <w:rFonts w:hint="eastAsia" w:ascii="仿宋_GB2312" w:hAnsi="Calibri" w:eastAsia="仿宋_GB2312" w:cs="Times New Roman"/>
          <w:color w:val="auto"/>
          <w:kern w:val="2"/>
          <w:sz w:val="32"/>
          <w:szCs w:val="32"/>
          <w:highlight w:val="none"/>
          <w:lang w:val="en-US" w:eastAsia="zh-CN" w:bidi="ar-SA"/>
        </w:rPr>
        <w:t>万元。我部门202</w:t>
      </w:r>
      <w:r>
        <w:rPr>
          <w:rFonts w:hint="eastAsia" w:ascii="仿宋_GB2312" w:eastAsia="仿宋_GB2312" w:cs="Times New Roman"/>
          <w:color w:val="auto"/>
          <w:kern w:val="2"/>
          <w:sz w:val="32"/>
          <w:szCs w:val="32"/>
          <w:highlight w:val="none"/>
          <w:lang w:val="en-US" w:eastAsia="zh-CN" w:bidi="ar-SA"/>
        </w:rPr>
        <w:t>5</w:t>
      </w:r>
      <w:r>
        <w:rPr>
          <w:rFonts w:hint="eastAsia" w:ascii="仿宋_GB2312" w:hAnsi="Calibri" w:eastAsia="仿宋_GB2312" w:cs="Times New Roman"/>
          <w:color w:val="auto"/>
          <w:kern w:val="2"/>
          <w:sz w:val="32"/>
          <w:szCs w:val="32"/>
          <w:highlight w:val="none"/>
          <w:lang w:val="en-US" w:eastAsia="zh-CN" w:bidi="ar-SA"/>
        </w:rPr>
        <w:t>年未开展重点项目预算的绩效目标。</w:t>
      </w:r>
    </w:p>
    <w:p w14:paraId="6F06593B">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楷体" w:hAnsi="楷体" w:eastAsia="楷体" w:cs="楷体"/>
          <w:i w:val="0"/>
          <w:iCs w:val="0"/>
          <w:caps w:val="0"/>
          <w:color w:val="444444"/>
          <w:spacing w:val="0"/>
          <w:kern w:val="0"/>
          <w:sz w:val="32"/>
          <w:szCs w:val="32"/>
          <w:shd w:val="clear" w:color="090000" w:fill="FFFFFF"/>
          <w:lang w:val="en-US" w:eastAsia="zh-CN"/>
        </w:rPr>
      </w:pPr>
      <w:r>
        <w:rPr>
          <w:rFonts w:hint="eastAsia" w:ascii="楷体" w:hAnsi="楷体" w:eastAsia="楷体" w:cs="楷体"/>
          <w:i w:val="0"/>
          <w:iCs w:val="0"/>
          <w:caps w:val="0"/>
          <w:color w:val="444444"/>
          <w:spacing w:val="0"/>
          <w:kern w:val="0"/>
          <w:sz w:val="32"/>
          <w:szCs w:val="32"/>
          <w:shd w:val="clear" w:color="090000" w:fill="FFFFFF"/>
          <w:lang w:val="en-US" w:eastAsia="zh-CN"/>
        </w:rPr>
        <w:t>（四）国有资产占用情况</w:t>
      </w:r>
    </w:p>
    <w:p w14:paraId="732CC246">
      <w:pPr>
        <w:widowControl w:val="0"/>
        <w:wordWrap/>
        <w:adjustRightInd/>
        <w:snapToGrid/>
        <w:spacing w:line="578" w:lineRule="exact"/>
        <w:ind w:firstLine="640"/>
        <w:jc w:val="both"/>
        <w:textAlignment w:val="auto"/>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pP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 </w:t>
      </w:r>
      <w:r>
        <w:rPr>
          <w:rFonts w:hint="eastAsia" w:ascii="仿宋_GB2312" w:hAnsi="Calibri" w:eastAsia="仿宋_GB2312" w:cs="Times New Roman"/>
          <w:color w:val="auto"/>
          <w:kern w:val="2"/>
          <w:sz w:val="32"/>
          <w:szCs w:val="32"/>
          <w:highlight w:val="none"/>
          <w:lang w:val="en-US" w:eastAsia="zh-CN" w:bidi="ar-SA"/>
        </w:rPr>
        <w:t>202</w:t>
      </w:r>
      <w:r>
        <w:rPr>
          <w:rFonts w:hint="eastAsia" w:ascii="仿宋_GB2312" w:eastAsia="仿宋_GB2312" w:cs="Times New Roman"/>
          <w:color w:val="auto"/>
          <w:kern w:val="2"/>
          <w:sz w:val="32"/>
          <w:szCs w:val="32"/>
          <w:highlight w:val="none"/>
          <w:lang w:val="en-US" w:eastAsia="zh-CN" w:bidi="ar-SA"/>
        </w:rPr>
        <w:t>4</w:t>
      </w:r>
      <w:r>
        <w:rPr>
          <w:rFonts w:hint="eastAsia" w:ascii="仿宋_GB2312" w:hAnsi="Calibri" w:eastAsia="仿宋_GB2312" w:cs="Times New Roman"/>
          <w:color w:val="auto"/>
          <w:kern w:val="2"/>
          <w:sz w:val="32"/>
          <w:szCs w:val="32"/>
          <w:highlight w:val="none"/>
          <w:lang w:val="en-US" w:eastAsia="zh-CN" w:bidi="ar-SA"/>
        </w:rPr>
        <w:t>年期末，我部门共有车辆</w:t>
      </w:r>
      <w:r>
        <w:rPr>
          <w:rFonts w:hint="eastAsia" w:ascii="仿宋_GB2312" w:eastAsia="仿宋_GB2312" w:cs="Times New Roman"/>
          <w:color w:val="auto"/>
          <w:kern w:val="2"/>
          <w:sz w:val="32"/>
          <w:szCs w:val="32"/>
          <w:highlight w:val="none"/>
          <w:lang w:val="en-US" w:eastAsia="zh-CN" w:bidi="ar-SA"/>
        </w:rPr>
        <w:t>41</w:t>
      </w:r>
      <w:r>
        <w:rPr>
          <w:rFonts w:hint="eastAsia" w:ascii="仿宋_GB2312" w:hAnsi="Calibri" w:eastAsia="仿宋_GB2312" w:cs="Times New Roman"/>
          <w:color w:val="auto"/>
          <w:kern w:val="2"/>
          <w:sz w:val="32"/>
          <w:szCs w:val="32"/>
          <w:highlight w:val="none"/>
          <w:lang w:val="en-US" w:eastAsia="zh-CN" w:bidi="ar-SA"/>
        </w:rPr>
        <w:t>辆，其中：一般公务用车</w:t>
      </w:r>
      <w:r>
        <w:rPr>
          <w:rFonts w:hint="eastAsia" w:ascii="仿宋_GB2312" w:eastAsia="仿宋_GB2312" w:cs="Times New Roman"/>
          <w:color w:val="auto"/>
          <w:kern w:val="2"/>
          <w:sz w:val="32"/>
          <w:szCs w:val="32"/>
          <w:highlight w:val="none"/>
          <w:lang w:val="en-US" w:eastAsia="zh-CN" w:bidi="ar-SA"/>
        </w:rPr>
        <w:t>7</w:t>
      </w:r>
      <w:r>
        <w:rPr>
          <w:rFonts w:hint="eastAsia" w:ascii="仿宋_GB2312" w:hAnsi="Calibri" w:eastAsia="仿宋_GB2312" w:cs="Times New Roman"/>
          <w:color w:val="auto"/>
          <w:kern w:val="2"/>
          <w:sz w:val="32"/>
          <w:szCs w:val="32"/>
          <w:highlight w:val="none"/>
          <w:lang w:val="en-US" w:eastAsia="zh-CN" w:bidi="ar-SA"/>
        </w:rPr>
        <w:t>辆、一般执法执勤用车</w:t>
      </w:r>
      <w:r>
        <w:rPr>
          <w:rFonts w:hint="eastAsia" w:ascii="仿宋_GB2312" w:eastAsia="仿宋_GB2312" w:cs="Times New Roman"/>
          <w:color w:val="auto"/>
          <w:kern w:val="2"/>
          <w:sz w:val="32"/>
          <w:szCs w:val="32"/>
          <w:highlight w:val="none"/>
          <w:lang w:val="en-US" w:eastAsia="zh-CN" w:bidi="ar-SA"/>
        </w:rPr>
        <w:t>32</w:t>
      </w:r>
      <w:r>
        <w:rPr>
          <w:rFonts w:hint="eastAsia" w:ascii="仿宋_GB2312" w:hAnsi="Calibri" w:eastAsia="仿宋_GB2312" w:cs="Times New Roman"/>
          <w:color w:val="auto"/>
          <w:kern w:val="2"/>
          <w:sz w:val="32"/>
          <w:szCs w:val="32"/>
          <w:highlight w:val="none"/>
          <w:lang w:val="en-US" w:eastAsia="zh-CN" w:bidi="ar-SA"/>
        </w:rPr>
        <w:t>辆、特种专业技术用车</w:t>
      </w:r>
      <w:r>
        <w:rPr>
          <w:rFonts w:hint="eastAsia" w:ascii="仿宋_GB2312" w:eastAsia="仿宋_GB2312" w:cs="Times New Roman"/>
          <w:color w:val="auto"/>
          <w:kern w:val="2"/>
          <w:sz w:val="32"/>
          <w:szCs w:val="32"/>
          <w:highlight w:val="none"/>
          <w:lang w:val="en-US" w:eastAsia="zh-CN" w:bidi="ar-SA"/>
        </w:rPr>
        <w:t>2</w:t>
      </w:r>
      <w:r>
        <w:rPr>
          <w:rFonts w:hint="eastAsia" w:ascii="仿宋_GB2312" w:hAnsi="Calibri" w:eastAsia="仿宋_GB2312" w:cs="Times New Roman"/>
          <w:color w:val="auto"/>
          <w:kern w:val="2"/>
          <w:sz w:val="32"/>
          <w:szCs w:val="32"/>
          <w:highlight w:val="none"/>
          <w:lang w:val="en-US" w:eastAsia="zh-CN" w:bidi="ar-SA"/>
        </w:rPr>
        <w:t>辆，其他用车0辆；单价50万元以上通用设备0套，单位价值100万元以上专用设备0套。</w:t>
      </w:r>
    </w:p>
    <w:p w14:paraId="3203703E">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left"/>
        <w:textAlignment w:val="auto"/>
        <w:rPr>
          <w:rFonts w:hint="eastAsia" w:ascii="楷体" w:hAnsi="楷体" w:eastAsia="楷体" w:cs="楷体"/>
          <w:i w:val="0"/>
          <w:iCs w:val="0"/>
          <w:caps w:val="0"/>
          <w:color w:val="444444"/>
          <w:spacing w:val="0"/>
          <w:kern w:val="0"/>
          <w:sz w:val="32"/>
          <w:szCs w:val="32"/>
          <w:shd w:val="clear" w:color="090000" w:fill="FFFFFF"/>
          <w:lang w:val="en-US" w:eastAsia="zh-CN"/>
        </w:rPr>
      </w:pPr>
      <w:r>
        <w:rPr>
          <w:rFonts w:hint="default" w:ascii="楷体" w:hAnsi="楷体" w:eastAsia="楷体" w:cs="楷体"/>
          <w:i w:val="0"/>
          <w:iCs w:val="0"/>
          <w:caps w:val="0"/>
          <w:color w:val="444444"/>
          <w:spacing w:val="0"/>
          <w:kern w:val="0"/>
          <w:sz w:val="32"/>
          <w:szCs w:val="32"/>
          <w:shd w:val="clear" w:color="090000" w:fill="FFFFFF"/>
          <w:lang w:val="en-US" w:eastAsia="zh-CN"/>
        </w:rPr>
        <w:t>（五）专项转移支付项目情况</w:t>
      </w:r>
    </w:p>
    <w:p w14:paraId="1F770382">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520" w:firstLineChars="200"/>
        <w:jc w:val="left"/>
        <w:textAlignment w:val="auto"/>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pPr>
      <w:r>
        <w:rPr>
          <w:rFonts w:hint="default" w:ascii="仿宋_GB2312" w:hAnsi="仿宋_GB2312" w:eastAsia="仿宋_GB2312" w:cs="仿宋_GB2312"/>
          <w:i w:val="0"/>
          <w:caps w:val="0"/>
          <w:color w:val="444444"/>
          <w:spacing w:val="0"/>
          <w:kern w:val="0"/>
          <w:sz w:val="26"/>
          <w:szCs w:val="26"/>
          <w:shd w:val="clear" w:color="080000" w:fill="FFFFFF"/>
          <w:lang w:val="en-US" w:eastAsia="zh-CN"/>
        </w:rPr>
        <w:t> </w:t>
      </w:r>
      <w:bookmarkStart w:id="0" w:name="_GoBack"/>
      <w:bookmarkEnd w:id="0"/>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 xml:space="preserve"> </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我单位202</w:t>
      </w: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5</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年负责管理的专项转移支付项目共有0项；我单位将按照《预算法》等有关规定，积极做好项目分配前期准备工作，在规定的时间内向财政部门提出资金分配意见</w:t>
      </w:r>
      <w:r>
        <w:rPr>
          <w:rFonts w:hint="default" w:ascii="仿宋_GB2312" w:hAnsi="仿宋_GB2312" w:eastAsia="仿宋_GB2312" w:cs="仿宋_GB2312"/>
          <w:i w:val="0"/>
          <w:caps w:val="0"/>
          <w:color w:val="444444"/>
          <w:spacing w:val="0"/>
          <w:kern w:val="0"/>
          <w:sz w:val="26"/>
          <w:szCs w:val="26"/>
          <w:shd w:val="clear" w:color="080000" w:fill="FFFFFF"/>
          <w:lang w:val="en-US" w:eastAsia="zh-CN"/>
        </w:rPr>
        <w:t>，</w:t>
      </w:r>
      <w:r>
        <w:rPr>
          <w:rFonts w:hint="default" w:ascii="仿宋_GB2312" w:hAnsi="微软雅黑" w:eastAsia="仿宋_GB2312" w:cs="仿宋_GB2312"/>
          <w:i w:val="0"/>
          <w:iCs w:val="0"/>
          <w:caps w:val="0"/>
          <w:color w:val="444444"/>
          <w:spacing w:val="0"/>
          <w:kern w:val="0"/>
          <w:sz w:val="32"/>
          <w:szCs w:val="32"/>
          <w:shd w:val="clear" w:color="090000" w:fill="FFFFFF"/>
          <w:lang w:val="en-US" w:eastAsia="zh-CN"/>
        </w:rPr>
        <w:t>根据有关要求做好项目申报公开等相关工作。</w:t>
      </w:r>
    </w:p>
    <w:p w14:paraId="743CB34A">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center"/>
        <w:textAlignment w:val="auto"/>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第三部分</w:t>
      </w:r>
    </w:p>
    <w:p w14:paraId="2FB236C9">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center"/>
        <w:textAlignment w:val="auto"/>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名词解释</w:t>
      </w:r>
    </w:p>
    <w:p w14:paraId="10864063">
      <w:pPr>
        <w:widowControl/>
        <w:pBdr>
          <w:top w:val="none" w:color="auto" w:sz="0" w:space="0"/>
          <w:left w:val="none" w:color="auto" w:sz="0" w:space="0"/>
          <w:bottom w:val="none" w:color="auto" w:sz="0" w:space="0"/>
          <w:right w:val="none" w:color="auto" w:sz="0" w:space="0"/>
        </w:pBdr>
        <w:shd w:val="clear" w:color="060000" w:fill="FFFFFF"/>
        <w:wordWrap/>
        <w:adjustRightInd/>
        <w:snapToGrid/>
        <w:spacing w:before="0" w:beforeAutospacing="0" w:after="0" w:afterAutospacing="0" w:line="600" w:lineRule="exact"/>
        <w:ind w:left="0" w:right="0" w:firstLine="640" w:firstLineChars="200"/>
        <w:jc w:val="center"/>
        <w:textAlignment w:val="auto"/>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 </w:t>
      </w:r>
    </w:p>
    <w:p w14:paraId="26800368">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pP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一、财政拨款收入：是指县级财政当年拨付的资金；包括一般公共预算拨款、政府性基金预算拨款、国有资本经营预算拨款。</w:t>
      </w:r>
    </w:p>
    <w:p w14:paraId="7AC8FBD6">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pP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二、财政专户管理资金：是指缴入财政专户、实行专项管理的高中以上学费、住宿费、高校委托培养费、函大、电大、夜大及短训班培训费等教育收费。</w:t>
      </w:r>
    </w:p>
    <w:p w14:paraId="074BFD26">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pP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三、事业收入：是指事业单位开展专业活动及辅助活动所取得的收入，不包括教育收费。</w:t>
      </w:r>
    </w:p>
    <w:p w14:paraId="77D4422D">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pP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四、事业单位经营收入：是指事业单位在专业业务活动及其辅助活动之外开展非独立核算经营活动取得的收入。</w:t>
      </w:r>
    </w:p>
    <w:p w14:paraId="3A533156">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pP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五、其他收入：是指部门取得的除“财政拨款”、“事业收入”、“事业单位经营收入”等以外的收入。</w:t>
      </w:r>
    </w:p>
    <w:p w14:paraId="309984B3">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pP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六、用事业基金弥补收支差额：是指事业单位在当年的“财政拨款收入”、“事业收入”、“经营收入”和“其他收入”不足以安排当年支出的情况下，使用以前年度积累的事业基金(即事业单位以前各年度收支相抵后，按国家规定提取、用于弥补以后年度收支差额的基金)弥补当年收支缺口的资金。</w:t>
      </w:r>
    </w:p>
    <w:p w14:paraId="2F645744">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pP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七、基本支出：是指为保障机构正常运转、完成日常工作任务所必需的开支，其内容包括人员经费和日常公用经费两部分。</w:t>
      </w:r>
    </w:p>
    <w:p w14:paraId="7BB3988F">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pP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八、项目支出：是指在基本支出之外，为完成特定的行政工作任务或事业发展目标所发生的支出。</w:t>
      </w:r>
    </w:p>
    <w:p w14:paraId="5691FEA5">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pP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九、“三公”经费：是指纳入县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14:paraId="00DAF7C0">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pPr>
      <w:r>
        <w:rPr>
          <w:rFonts w:hint="eastAsia" w:ascii="仿宋_GB2312" w:hAnsi="微软雅黑" w:eastAsia="仿宋_GB2312" w:cs="仿宋_GB2312"/>
          <w:i w:val="0"/>
          <w:iCs w:val="0"/>
          <w:caps w:val="0"/>
          <w:color w:val="444444"/>
          <w:spacing w:val="0"/>
          <w:kern w:val="0"/>
          <w:sz w:val="32"/>
          <w:szCs w:val="32"/>
          <w:shd w:val="clear" w:color="090000" w:fill="FFFFFF"/>
          <w:lang w:val="en-US" w:eastAsia="zh-CN"/>
        </w:rPr>
        <w:t>十、机关运行经费：是指为保障行政单位(含参照公务员法管理的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14:paraId="6B2285E4">
      <w:pPr>
        <w:rPr>
          <w:color w:val="auto"/>
          <w:sz w:val="32"/>
          <w:szCs w:val="32"/>
          <w:highlight w:val="none"/>
        </w:rPr>
      </w:pPr>
    </w:p>
    <w:p w14:paraId="6976B835">
      <w:pPr>
        <w:rPr>
          <w:color w:val="auto"/>
          <w:sz w:val="32"/>
          <w:szCs w:val="32"/>
          <w:highlight w:val="none"/>
        </w:rPr>
      </w:pPr>
    </w:p>
    <w:p w14:paraId="49486363">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0" w:firstLine="42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 </w:t>
      </w:r>
    </w:p>
    <w:p w14:paraId="2A6CC16B">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微软雅黑" w:hAnsi="微软雅黑" w:eastAsia="微软雅黑" w:cs="微软雅黑"/>
          <w:i w:val="0"/>
          <w:iCs w:val="0"/>
          <w:caps w:val="0"/>
          <w:color w:val="333333"/>
          <w:spacing w:val="0"/>
          <w:kern w:val="0"/>
          <w:sz w:val="24"/>
          <w:szCs w:val="24"/>
          <w:u w:val="none"/>
          <w:shd w:val="clear" w:color="0A0000" w:fill="FFFFFF"/>
          <w:lang w:val="en-US" w:eastAsia="zh-CN"/>
        </w:rPr>
        <w:fldChar w:fldCharType="begin"/>
      </w:r>
      <w:r>
        <w:rPr>
          <w:rFonts w:hint="eastAsia" w:ascii="微软雅黑" w:hAnsi="微软雅黑" w:eastAsia="微软雅黑" w:cs="微软雅黑"/>
          <w:i w:val="0"/>
          <w:iCs w:val="0"/>
          <w:caps w:val="0"/>
          <w:color w:val="333333"/>
          <w:spacing w:val="0"/>
          <w:kern w:val="0"/>
          <w:sz w:val="24"/>
          <w:szCs w:val="24"/>
          <w:u w:val="none"/>
          <w:shd w:val="clear" w:color="0A0000" w:fill="FFFFFF"/>
          <w:lang w:val="en-US" w:eastAsia="zh-CN"/>
        </w:rPr>
        <w:instrText xml:space="preserve"> HYPERLINK "http://www.mianchi.gov.cn/uploadfile/2022/0804/20220804080530322.xlsx" </w:instrText>
      </w:r>
      <w:r>
        <w:rPr>
          <w:rFonts w:hint="eastAsia" w:ascii="微软雅黑" w:hAnsi="微软雅黑" w:eastAsia="微软雅黑" w:cs="微软雅黑"/>
          <w:i w:val="0"/>
          <w:iCs w:val="0"/>
          <w:caps w:val="0"/>
          <w:color w:val="333333"/>
          <w:spacing w:val="0"/>
          <w:kern w:val="0"/>
          <w:sz w:val="24"/>
          <w:szCs w:val="24"/>
          <w:u w:val="none"/>
          <w:shd w:val="clear" w:color="0A0000" w:fill="FFFFFF"/>
          <w:lang w:val="en-US" w:eastAsia="zh-CN"/>
        </w:rPr>
        <w:fldChar w:fldCharType="separate"/>
      </w:r>
      <w:r>
        <w:rPr>
          <w:rStyle w:val="5"/>
          <w:rFonts w:hint="eastAsia" w:ascii="黑体" w:hAnsi="宋体" w:eastAsia="黑体" w:cs="黑体"/>
          <w:i w:val="0"/>
          <w:iCs w:val="0"/>
          <w:caps w:val="0"/>
          <w:color w:val="333333"/>
          <w:spacing w:val="0"/>
          <w:sz w:val="32"/>
          <w:szCs w:val="32"/>
          <w:u w:val="none"/>
          <w:shd w:val="clear" w:color="0A0000" w:fill="FFFFFF"/>
        </w:rPr>
        <w:t>附件：市场监督管理局202</w:t>
      </w:r>
      <w:r>
        <w:rPr>
          <w:rStyle w:val="5"/>
          <w:rFonts w:hint="eastAsia" w:ascii="黑体" w:hAnsi="宋体" w:eastAsia="黑体" w:cs="黑体"/>
          <w:i w:val="0"/>
          <w:iCs w:val="0"/>
          <w:caps w:val="0"/>
          <w:color w:val="333333"/>
          <w:spacing w:val="0"/>
          <w:sz w:val="32"/>
          <w:szCs w:val="32"/>
          <w:u w:val="none"/>
          <w:shd w:val="clear" w:color="0A0000" w:fill="FFFFFF"/>
          <w:lang w:val="en-US" w:eastAsia="zh-CN"/>
        </w:rPr>
        <w:t>5</w:t>
      </w:r>
      <w:r>
        <w:rPr>
          <w:rStyle w:val="5"/>
          <w:rFonts w:hint="eastAsia" w:ascii="黑体" w:hAnsi="宋体" w:eastAsia="黑体" w:cs="黑体"/>
          <w:i w:val="0"/>
          <w:iCs w:val="0"/>
          <w:caps w:val="0"/>
          <w:color w:val="333333"/>
          <w:spacing w:val="0"/>
          <w:sz w:val="32"/>
          <w:szCs w:val="32"/>
          <w:u w:val="none"/>
          <w:shd w:val="clear" w:color="0A0000" w:fill="FFFFFF"/>
        </w:rPr>
        <w:t>年度部门预算表</w:t>
      </w:r>
      <w:r>
        <w:rPr>
          <w:rFonts w:hint="eastAsia" w:ascii="微软雅黑" w:hAnsi="微软雅黑" w:eastAsia="微软雅黑" w:cs="微软雅黑"/>
          <w:i w:val="0"/>
          <w:iCs w:val="0"/>
          <w:caps w:val="0"/>
          <w:color w:val="333333"/>
          <w:spacing w:val="0"/>
          <w:kern w:val="0"/>
          <w:sz w:val="24"/>
          <w:szCs w:val="24"/>
          <w:u w:val="none"/>
          <w:shd w:val="clear" w:color="0A0000" w:fill="FFFFFF"/>
          <w:lang w:val="en-US" w:eastAsia="zh-CN"/>
        </w:rPr>
        <w:fldChar w:fldCharType="end"/>
      </w:r>
    </w:p>
    <w:p w14:paraId="3B22A873">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0" w:firstLine="42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 </w:t>
      </w:r>
    </w:p>
    <w:p w14:paraId="123EF3A7">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0" w:firstLine="42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color="090000" w:fill="FFFFFF"/>
          <w:lang w:val="en-US" w:eastAsia="zh-CN"/>
        </w:rPr>
        <w:t> </w:t>
      </w:r>
    </w:p>
    <w:p w14:paraId="72908484">
      <w:pPr>
        <w:widowControl/>
        <w:pBdr>
          <w:top w:val="none" w:color="auto" w:sz="0" w:space="0"/>
          <w:left w:val="none" w:color="auto" w:sz="0" w:space="0"/>
          <w:bottom w:val="none" w:color="auto" w:sz="0" w:space="0"/>
          <w:right w:val="none" w:color="auto" w:sz="0" w:space="0"/>
        </w:pBdr>
        <w:shd w:val="clear" w:color="050000" w:fill="FFFFFF"/>
        <w:spacing w:before="0" w:beforeAutospacing="0" w:after="0" w:afterAutospacing="0" w:line="560" w:lineRule="atLeast"/>
        <w:ind w:left="0" w:right="0" w:firstLine="420"/>
        <w:jc w:val="left"/>
        <w:rPr>
          <w:rFonts w:hint="eastAsia" w:ascii="微软雅黑" w:hAnsi="微软雅黑" w:eastAsia="微软雅黑" w:cs="微软雅黑"/>
          <w:i w:val="0"/>
          <w:iCs w:val="0"/>
          <w:caps w:val="0"/>
          <w:color w:val="444444"/>
          <w:spacing w:val="0"/>
          <w:sz w:val="24"/>
          <w:szCs w:val="24"/>
        </w:rPr>
      </w:pPr>
      <w:r>
        <w:rPr>
          <w:rFonts w:ascii="Calibri" w:hAnsi="Calibri" w:eastAsia="微软雅黑" w:cs="Calibri"/>
          <w:i w:val="0"/>
          <w:iCs w:val="0"/>
          <w:caps w:val="0"/>
          <w:color w:val="444444"/>
          <w:spacing w:val="0"/>
          <w:kern w:val="0"/>
          <w:sz w:val="21"/>
          <w:szCs w:val="21"/>
          <w:shd w:val="clear" w:color="090000" w:fill="FFFFFF"/>
          <w:lang w:val="en-US" w:eastAsia="zh-CN"/>
        </w:rPr>
        <w:t> </w:t>
      </w:r>
    </w:p>
    <w:p w14:paraId="12D68F4B"/>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41699C"/>
    <w:multiLevelType w:val="singleLevel"/>
    <w:tmpl w:val="8C41699C"/>
    <w:lvl w:ilvl="0" w:tentative="0">
      <w:start w:val="1"/>
      <w:numFmt w:val="chineseCounting"/>
      <w:suff w:val="nothing"/>
      <w:lvlText w:val="%1、"/>
      <w:lvlJc w:val="left"/>
      <w:rPr>
        <w:rFonts w:hint="eastAsia"/>
      </w:rPr>
    </w:lvl>
  </w:abstractNum>
  <w:abstractNum w:abstractNumId="1">
    <w:nsid w:val="C2EDD5DE"/>
    <w:multiLevelType w:val="singleLevel"/>
    <w:tmpl w:val="C2EDD5DE"/>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NDU2Yjg3MWU1NWYyNjA1MzM2ZGM3NWJmNDE0MmRkNDYifQ=="/>
  </w:docVars>
  <w:rsids>
    <w:rsidRoot w:val="00000000"/>
    <w:rsid w:val="037C0C13"/>
    <w:rsid w:val="09215E04"/>
    <w:rsid w:val="15520F4C"/>
    <w:rsid w:val="16A918E9"/>
    <w:rsid w:val="1A0B7660"/>
    <w:rsid w:val="1D923DD3"/>
    <w:rsid w:val="20A94813"/>
    <w:rsid w:val="252A3F53"/>
    <w:rsid w:val="26442958"/>
    <w:rsid w:val="2A386DDC"/>
    <w:rsid w:val="2FE33CED"/>
    <w:rsid w:val="31345802"/>
    <w:rsid w:val="369D43F5"/>
    <w:rsid w:val="39354380"/>
    <w:rsid w:val="419E6238"/>
    <w:rsid w:val="426D3D43"/>
    <w:rsid w:val="48786536"/>
    <w:rsid w:val="5A822AC0"/>
    <w:rsid w:val="5C010A45"/>
    <w:rsid w:val="5D84417A"/>
    <w:rsid w:val="658748E7"/>
    <w:rsid w:val="670D387D"/>
    <w:rsid w:val="672751A9"/>
    <w:rsid w:val="67ED6C76"/>
    <w:rsid w:val="68953223"/>
    <w:rsid w:val="68DC3034"/>
    <w:rsid w:val="6A8041C1"/>
    <w:rsid w:val="6BE8335D"/>
    <w:rsid w:val="73630050"/>
    <w:rsid w:val="769B5383"/>
    <w:rsid w:val="772E73C8"/>
    <w:rsid w:val="7B5E4E76"/>
    <w:rsid w:val="7D9F0F28"/>
    <w:rsid w:val="7F3E0DC8"/>
    <w:rsid w:val="7FFB031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8624</Words>
  <Characters>8952</Characters>
  <Lines>0</Lines>
  <Paragraphs>0</Paragraphs>
  <TotalTime>3</TotalTime>
  <ScaleCrop>false</ScaleCrop>
  <LinksUpToDate>false</LinksUpToDate>
  <CharactersWithSpaces>9027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2023-03-27T02:28:00Z</dcterms:created>
  <dc:creator>Administrator</dc:creator>
  <cp:lastModifiedBy>我想</cp:lastModifiedBy>
  <dcterms:modified xsi:type="dcterms:W3CDTF">2025-05-22T03:10:47Z</dcterms:modified>
  <dc:title>2025年渑池县市场监督管理局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676110703D1F4DFB8223B450E594F507_13</vt:lpwstr>
  </property>
  <property fmtid="{D5CDD505-2E9C-101B-9397-08002B2CF9AE}" pid="4" name="KSOTemplateDocerSaveRecord">
    <vt:lpwstr>eyJoZGlkIjoiZGZmMDU5N2U1ODhjZWE1MzcwOTYzY2E0ZGI4ZjIxMmYiLCJ1c2VySWQiOiI0NjIwODIzNjAifQ==</vt:lpwstr>
  </property>
</Properties>
</file>